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EC210" w14:textId="77777777" w:rsidR="001A2F70" w:rsidRDefault="001A2F70">
      <w:pPr>
        <w:rPr>
          <w:lang w:val="en-US"/>
        </w:rPr>
      </w:pPr>
      <w:bookmarkStart w:id="0" w:name="_GoBack"/>
      <w:bookmarkEnd w:id="0"/>
    </w:p>
    <w:p w14:paraId="2C3905EE" w14:textId="77777777" w:rsidR="001A2F70" w:rsidRDefault="001A2F70">
      <w:pPr>
        <w:rPr>
          <w:lang w:val="en-US"/>
        </w:rPr>
      </w:pPr>
    </w:p>
    <w:p w14:paraId="3950B8F8" w14:textId="77777777" w:rsidR="001A2F70" w:rsidRDefault="001A2F70">
      <w:pPr>
        <w:rPr>
          <w:lang w:val="en-US"/>
        </w:rPr>
      </w:pPr>
    </w:p>
    <w:p w14:paraId="463A71B3" w14:textId="77777777" w:rsidR="001A2F70" w:rsidRDefault="001A2F70">
      <w:pPr>
        <w:rPr>
          <w:lang w:val="en-US"/>
        </w:rPr>
      </w:pPr>
    </w:p>
    <w:p w14:paraId="72EB3CC7" w14:textId="77777777" w:rsidR="001A2F70" w:rsidRDefault="001A2F70">
      <w:pPr>
        <w:rPr>
          <w:lang w:val="en-US"/>
        </w:rPr>
      </w:pPr>
    </w:p>
    <w:p w14:paraId="7BEA01B6" w14:textId="3ECE0C4B" w:rsidR="001A2F70" w:rsidRDefault="001A2F70">
      <w:pPr>
        <w:rPr>
          <w:lang w:val="en-US"/>
        </w:rPr>
      </w:pPr>
    </w:p>
    <w:p w14:paraId="01BA6886" w14:textId="77777777" w:rsidR="001A2F70" w:rsidRDefault="001A2F70">
      <w:pPr>
        <w:rPr>
          <w:lang w:val="en-US"/>
        </w:rPr>
      </w:pPr>
    </w:p>
    <w:p w14:paraId="3C129B17" w14:textId="77777777" w:rsidR="001A2F70" w:rsidRDefault="001A2F70">
      <w:pPr>
        <w:rPr>
          <w:lang w:val="en-US"/>
        </w:rPr>
      </w:pPr>
    </w:p>
    <w:p w14:paraId="672D4084" w14:textId="77777777" w:rsidR="001A2F70" w:rsidRDefault="001A2F70">
      <w:pPr>
        <w:rPr>
          <w:lang w:val="en-US"/>
        </w:rPr>
      </w:pPr>
    </w:p>
    <w:p w14:paraId="7AE940F0" w14:textId="77777777" w:rsidR="001A2F70" w:rsidRDefault="001A2F70">
      <w:pPr>
        <w:rPr>
          <w:lang w:val="en-US"/>
        </w:rPr>
      </w:pPr>
    </w:p>
    <w:p w14:paraId="34F2F4A9" w14:textId="77777777" w:rsidR="001A2F70" w:rsidRDefault="001A2F70">
      <w:pPr>
        <w:rPr>
          <w:lang w:val="en-US"/>
        </w:rPr>
      </w:pPr>
    </w:p>
    <w:p w14:paraId="1F06624A" w14:textId="77777777" w:rsidR="001A2F70" w:rsidRDefault="001A2F70">
      <w:pPr>
        <w:rPr>
          <w:lang w:val="en-US"/>
        </w:rPr>
      </w:pPr>
    </w:p>
    <w:p w14:paraId="2FD218A6" w14:textId="77777777" w:rsidR="001A2F70" w:rsidRDefault="001A2F70">
      <w:pPr>
        <w:rPr>
          <w:lang w:val="en-US"/>
        </w:rPr>
      </w:pPr>
    </w:p>
    <w:p w14:paraId="1FB3F6C4" w14:textId="1C66E487" w:rsidR="001A2F70" w:rsidRDefault="001A2F70" w:rsidP="001A2F70">
      <w:pPr>
        <w:jc w:val="center"/>
        <w:rPr>
          <w:lang w:val="en-US"/>
        </w:rPr>
      </w:pPr>
      <w:r w:rsidRPr="001A2F70">
        <w:rPr>
          <w:lang w:val="en-US"/>
        </w:rPr>
        <w:t>Climax Inc. Strategic Marketing Plan</w:t>
      </w:r>
    </w:p>
    <w:p w14:paraId="67131A22" w14:textId="1844B04B" w:rsidR="001A2F70" w:rsidRDefault="001A2F70" w:rsidP="001A2F70">
      <w:pPr>
        <w:jc w:val="center"/>
        <w:rPr>
          <w:lang w:val="en-US"/>
        </w:rPr>
      </w:pPr>
      <w:r>
        <w:rPr>
          <w:lang w:val="en-US"/>
        </w:rPr>
        <w:t>Name</w:t>
      </w:r>
    </w:p>
    <w:p w14:paraId="0A42D803" w14:textId="2731E44A" w:rsidR="001A2F70" w:rsidRDefault="001A2F70" w:rsidP="001A2F70">
      <w:pPr>
        <w:jc w:val="center"/>
        <w:rPr>
          <w:lang w:val="en-US"/>
        </w:rPr>
      </w:pPr>
      <w:r>
        <w:rPr>
          <w:lang w:val="en-US"/>
        </w:rPr>
        <w:t>Institution</w:t>
      </w:r>
    </w:p>
    <w:p w14:paraId="400FA746" w14:textId="339111B4" w:rsidR="001A2F70" w:rsidRDefault="001A2F70" w:rsidP="001A2F70">
      <w:pPr>
        <w:jc w:val="center"/>
        <w:rPr>
          <w:lang w:val="en-US"/>
        </w:rPr>
      </w:pPr>
    </w:p>
    <w:p w14:paraId="5F610818" w14:textId="28807B87" w:rsidR="001A2F70" w:rsidRDefault="001A2F70" w:rsidP="001A2F70">
      <w:pPr>
        <w:jc w:val="center"/>
        <w:rPr>
          <w:lang w:val="en-US"/>
        </w:rPr>
      </w:pPr>
    </w:p>
    <w:p w14:paraId="640FB8B7" w14:textId="4A2E3A0B" w:rsidR="001A2F70" w:rsidRDefault="001A2F70" w:rsidP="001A2F70">
      <w:pPr>
        <w:jc w:val="center"/>
        <w:rPr>
          <w:lang w:val="en-US"/>
        </w:rPr>
      </w:pPr>
    </w:p>
    <w:p w14:paraId="6A75919C" w14:textId="3B5FF0CD" w:rsidR="001A2F70" w:rsidRDefault="001A2F70" w:rsidP="001A2F70">
      <w:pPr>
        <w:jc w:val="center"/>
        <w:rPr>
          <w:lang w:val="en-US"/>
        </w:rPr>
      </w:pPr>
    </w:p>
    <w:p w14:paraId="6AA5CE39" w14:textId="75E5542B" w:rsidR="001A2F70" w:rsidRDefault="001A2F70" w:rsidP="001A2F70">
      <w:pPr>
        <w:jc w:val="center"/>
        <w:rPr>
          <w:lang w:val="en-US"/>
        </w:rPr>
      </w:pPr>
    </w:p>
    <w:p w14:paraId="79DAF24C" w14:textId="5F8E5767" w:rsidR="001A2F70" w:rsidRDefault="001A2F70" w:rsidP="001A2F70">
      <w:pPr>
        <w:jc w:val="center"/>
        <w:rPr>
          <w:lang w:val="en-US"/>
        </w:rPr>
      </w:pPr>
    </w:p>
    <w:p w14:paraId="72BBE5C1" w14:textId="2D6A0710" w:rsidR="001A2F70" w:rsidRDefault="001A2F70" w:rsidP="001A2F70">
      <w:pPr>
        <w:jc w:val="center"/>
        <w:rPr>
          <w:lang w:val="en-US"/>
        </w:rPr>
      </w:pPr>
    </w:p>
    <w:p w14:paraId="579DC4A8" w14:textId="5A8E44AF" w:rsidR="001A2F70" w:rsidRDefault="001A2F70" w:rsidP="001A2F70">
      <w:pPr>
        <w:jc w:val="center"/>
        <w:rPr>
          <w:lang w:val="en-US"/>
        </w:rPr>
      </w:pPr>
    </w:p>
    <w:p w14:paraId="1EEDDDBF" w14:textId="266098A4" w:rsidR="001A2F70" w:rsidRDefault="001A2F70" w:rsidP="001A2F70">
      <w:pPr>
        <w:jc w:val="center"/>
        <w:rPr>
          <w:lang w:val="en-US"/>
        </w:rPr>
      </w:pPr>
    </w:p>
    <w:p w14:paraId="62CCA484" w14:textId="5FD04D18" w:rsidR="001A2F70" w:rsidRDefault="001A2F70" w:rsidP="001A2F70">
      <w:pPr>
        <w:jc w:val="center"/>
        <w:rPr>
          <w:lang w:val="en-US"/>
        </w:rPr>
      </w:pPr>
    </w:p>
    <w:p w14:paraId="552A7632" w14:textId="59054C41" w:rsidR="001A2F70" w:rsidRDefault="001A2F70" w:rsidP="001A2F70">
      <w:pPr>
        <w:jc w:val="center"/>
        <w:rPr>
          <w:lang w:val="en-US"/>
        </w:rPr>
      </w:pPr>
    </w:p>
    <w:p w14:paraId="3B4B4FA0" w14:textId="533A8A2F" w:rsidR="001A2F70" w:rsidRDefault="001A2F70" w:rsidP="001A2F70">
      <w:pPr>
        <w:jc w:val="center"/>
        <w:rPr>
          <w:lang w:val="en-US"/>
        </w:rPr>
      </w:pPr>
    </w:p>
    <w:p w14:paraId="07D41DD8" w14:textId="6F89A91A" w:rsidR="001A2F70" w:rsidRDefault="001A2F70" w:rsidP="001A2F70">
      <w:pPr>
        <w:jc w:val="center"/>
        <w:rPr>
          <w:lang w:val="en-US"/>
        </w:rPr>
      </w:pPr>
    </w:p>
    <w:p w14:paraId="0F294F26" w14:textId="77777777" w:rsidR="001A2F70" w:rsidRDefault="001A2F70" w:rsidP="001A2F70">
      <w:pPr>
        <w:jc w:val="center"/>
        <w:rPr>
          <w:lang w:val="en-US"/>
        </w:rPr>
      </w:pPr>
    </w:p>
    <w:p w14:paraId="2076912B" w14:textId="560E7027" w:rsidR="00BA7A17" w:rsidRDefault="002572EF" w:rsidP="001A2F70">
      <w:pPr>
        <w:spacing w:line="480" w:lineRule="auto"/>
        <w:ind w:firstLine="720"/>
        <w:jc w:val="both"/>
        <w:rPr>
          <w:lang w:val="en-US"/>
        </w:rPr>
      </w:pPr>
      <w:r>
        <w:rPr>
          <w:lang w:val="en-US"/>
        </w:rPr>
        <w:lastRenderedPageBreak/>
        <w:t xml:space="preserve">Introduction </w:t>
      </w:r>
    </w:p>
    <w:p w14:paraId="09157F93" w14:textId="74B77FA5" w:rsidR="002603C7" w:rsidRDefault="002572EF" w:rsidP="001A2F70">
      <w:pPr>
        <w:spacing w:line="480" w:lineRule="auto"/>
        <w:ind w:firstLine="720"/>
        <w:jc w:val="both"/>
        <w:rPr>
          <w:lang w:val="en-US"/>
        </w:rPr>
      </w:pPr>
      <w:r>
        <w:rPr>
          <w:lang w:val="en-US"/>
        </w:rPr>
        <w:t xml:space="preserve">A marketing plan provides a  critical evaluation of essential practices and strategies that an organization can consider in becoming successful. There is need to give a strong focus on organization preparedness in embracing the market while creating a strong focus on essential changes on demand and other vital concepts which help in building a strong center on critical organizational outcomes.  A critical engagement in the market provides a stronger </w:t>
      </w:r>
      <w:r w:rsidR="00657996">
        <w:rPr>
          <w:lang w:val="en-US"/>
        </w:rPr>
        <w:t>knowledge</w:t>
      </w:r>
      <w:r>
        <w:rPr>
          <w:lang w:val="en-US"/>
        </w:rPr>
        <w:t xml:space="preserve"> of fun</w:t>
      </w:r>
      <w:r w:rsidR="00657996">
        <w:rPr>
          <w:lang w:val="en-US"/>
        </w:rPr>
        <w:t>damental</w:t>
      </w:r>
      <w:r>
        <w:rPr>
          <w:lang w:val="en-US"/>
        </w:rPr>
        <w:t xml:space="preserve"> measures</w:t>
      </w:r>
      <w:r w:rsidR="00657996">
        <w:rPr>
          <w:lang w:val="en-US"/>
        </w:rPr>
        <w:t xml:space="preserve"> that aid</w:t>
      </w:r>
      <w:r>
        <w:rPr>
          <w:lang w:val="en-US"/>
        </w:rPr>
        <w:t xml:space="preserve"> in determining better results. Therefore it is crucial to understand fundamental processes which need to be considered in providing a highly successful organizational development. Climax Inc. is a startup company which is aiming to penetrate the market based on a strategic focus on quality service delivery and products based on the needs of consumers in the market. Therefore ensuring that the market is highly engaged to provide a higher evaluation of important processes which help in outlining fundamental changes which are essential in maintaining positive organizational outcomes. </w:t>
      </w:r>
    </w:p>
    <w:p w14:paraId="20B33FBF" w14:textId="1F26A35A" w:rsidR="002603C7" w:rsidRDefault="002572EF" w:rsidP="001A2F70">
      <w:pPr>
        <w:spacing w:line="480" w:lineRule="auto"/>
        <w:ind w:firstLine="720"/>
        <w:jc w:val="both"/>
        <w:rPr>
          <w:lang w:val="en-US"/>
        </w:rPr>
      </w:pPr>
      <w:r>
        <w:rPr>
          <w:lang w:val="en-US"/>
        </w:rPr>
        <w:t xml:space="preserve">Products and services </w:t>
      </w:r>
    </w:p>
    <w:p w14:paraId="5C75CE97" w14:textId="7823AC9E" w:rsidR="002F27D9" w:rsidRDefault="002572EF" w:rsidP="001A2F70">
      <w:pPr>
        <w:spacing w:line="480" w:lineRule="auto"/>
        <w:ind w:firstLine="720"/>
        <w:jc w:val="both"/>
        <w:rPr>
          <w:lang w:val="en-US"/>
        </w:rPr>
      </w:pPr>
      <w:r>
        <w:rPr>
          <w:lang w:val="en-US"/>
        </w:rPr>
        <w:t xml:space="preserve">Climax Inc. is focusing in critically embracing the market where it is easier to understand essential elements which can be considered in creating a highly successful market engagement. Therefore the company has focused on the farm tools which are necessary and highlights the underlying gap in the market. </w:t>
      </w:r>
      <w:r w:rsidRPr="002F27D9">
        <w:rPr>
          <w:lang w:val="en-US"/>
        </w:rPr>
        <w:t>The better development within the industry is defined by a high level of efficiency which helps in outlining better processes and concepts that determine positive development</w:t>
      </w:r>
      <w:r w:rsidR="003D7756">
        <w:rPr>
          <w:lang w:val="en-US"/>
        </w:rPr>
        <w:t xml:space="preserve"> </w:t>
      </w:r>
      <w:r w:rsidR="003D7756">
        <w:rPr>
          <w:rStyle w:val="FootnoteReference"/>
          <w:lang w:val="en-US"/>
        </w:rPr>
        <w:fldChar w:fldCharType="begin" w:fldLock="1"/>
      </w:r>
      <w:r w:rsidR="003D7756">
        <w:rPr>
          <w:lang w:val="en-US"/>
        </w:rPr>
        <w:instrText>ADDIN CSL_CITATION {"citationItems":[{"id":"ITEM-1","itemData":{"DOI":"10.1177/0972262912469708","ISBN":"9780203357262","ISSN":"0972-2629","PMID":"13814724","abstract":"The article reviews the book \"Global Marketing Management,\" 4th edition, by M. Kotabe and K. Helsen.","author":[{"dropping-particle":"","family":"Shukre","given":"Anagha","non-dropping-particle":"","parse-names":false,"suffix":""}],"container-title":"Vision: The Journal of Business Perspective","id":"ITEM-1","issued":{"date-parts":[["2013"]]},"title":"Marketing Management","type":"article-journal"},"uris":["http://www.mendeley.com/documents/?uuid=0fc4c0ab-16eb-4fd8-8c58-49454cc23f43","http://www.mendeley.com/documents/?uuid=299f2bfb-6bc1-4eb4-ab5d-391630d2ea25"]}],"mendeley":{"formattedCitation":"(Shukre, 2013)","plainTextFormattedCitation":"(Shukre, 2013)","previouslyFormattedCitation":"(Shukre, 2013)"},"properties":{"noteIndex":0},"schema":"https://github.com/citation-style-language/schema/raw/master/csl-citation.json"}</w:instrText>
      </w:r>
      <w:r w:rsidR="003D7756">
        <w:rPr>
          <w:rStyle w:val="FootnoteReference"/>
          <w:lang w:val="en-US"/>
        </w:rPr>
        <w:fldChar w:fldCharType="separate"/>
      </w:r>
      <w:r w:rsidR="003D7756" w:rsidRPr="003D7756">
        <w:rPr>
          <w:noProof/>
          <w:lang w:val="en-US"/>
        </w:rPr>
        <w:t>(Shukre, 2013)</w:t>
      </w:r>
      <w:r w:rsidR="003D7756">
        <w:rPr>
          <w:rStyle w:val="FootnoteReference"/>
          <w:lang w:val="en-US"/>
        </w:rPr>
        <w:fldChar w:fldCharType="end"/>
      </w:r>
      <w:r w:rsidRPr="002F27D9">
        <w:rPr>
          <w:lang w:val="en-US"/>
        </w:rPr>
        <w:t>.</w:t>
      </w:r>
      <w:r>
        <w:rPr>
          <w:lang w:val="en-US"/>
        </w:rPr>
        <w:t xml:space="preserve"> Climax Inc. will focus on </w:t>
      </w:r>
      <w:r w:rsidR="00657996">
        <w:rPr>
          <w:lang w:val="en-US"/>
        </w:rPr>
        <w:t>lawn furniture and lawnmowers. The products that will be offered by the company will be manufactured locally utilizing the available resources.</w:t>
      </w:r>
      <w:r w:rsidRPr="002F27D9">
        <w:rPr>
          <w:lang w:val="en-US"/>
        </w:rPr>
        <w:t xml:space="preserve"> The company also provides maintenance services which have been vital in developing better elements that define positive performance outcomes.  </w:t>
      </w:r>
      <w:r w:rsidRPr="002F27D9">
        <w:rPr>
          <w:lang w:val="en-US"/>
        </w:rPr>
        <w:lastRenderedPageBreak/>
        <w:t xml:space="preserve">Delivery of multiple products in the market is a strategic move by the organization which </w:t>
      </w:r>
      <w:r>
        <w:rPr>
          <w:lang w:val="en-US"/>
        </w:rPr>
        <w:t>will help in maintaining a strategic competitive advantage within the industry</w:t>
      </w:r>
      <w:r w:rsidR="003D7756">
        <w:rPr>
          <w:lang w:val="en-US"/>
        </w:rPr>
        <w:t xml:space="preserve"> </w:t>
      </w:r>
      <w:r w:rsidR="003D7756">
        <w:rPr>
          <w:lang w:val="en-US"/>
        </w:rPr>
        <w:fldChar w:fldCharType="begin" w:fldLock="1"/>
      </w:r>
      <w:r w:rsidR="003D7756">
        <w:rPr>
          <w:lang w:val="en-US"/>
        </w:rPr>
        <w:instrText>ADDIN CSL_CITATION {"citationItems":[{"id":"ITEM-1","itemData":{"DOI":"10.1017/9781315848860","ISBN":"9781315778860","ISSN":"15523853","PMID":"16132069","abstract":"Purpose – This study aims to investigate the effects of type of message (information/buy), the moderating effects of fit (high/low) and salience (brand vs cause) and the mediating effects of attributions of partner motives in cause marketing advertisements. Design/methodology/approach – Two experiments, one with students and the second with a more representative sample of the population were used to investigate the effects. ANOVA and structural equation modeling were used to test the relationships. Findings – Fit and salience were found to be key moderators on the effect of type of message on consumer responses. While brands can use a buy message when they are salient, this benefits them only when fit is high. For informational messages, cause salience leads to positive outcomes, especially when fit is low. Further, consumer attributions of partner motives mediate responses to the advertisement. Research limitations/implications – Type of message is an important variable that needs to be selected with car...","author":[{"dropping-particle":"","family":"Eagle","given":"Lynne","non-dropping-particle":"","parse-names":false,"suffix":""},{"dropping-particle":"","family":"Dahl","given":"Stephan","non-dropping-particle":"","parse-names":false,"suffix":""},{"dropping-particle":"","family":"Czarnecka","given":"Barbara","non-dropping-particle":"","parse-names":false,"suffix":""},{"dropping-particle":"","family":"Lloyd","given":"Jenny","non-dropping-particle":"","parse-names":false,"suffix":""}],"container-title":"Marketing Communications","id":"ITEM-1","issued":{"date-parts":[["2014"]]},"title":"Marketing Communications","type":"book"},"uris":["http://www.mendeley.com/documents/?uuid=13e529bd-55c7-4b5a-aa72-ccbac875c915","http://www.mendeley.com/documents/?uuid=7a9de9e5-0db6-4e0c-9f9b-bd96d51aaa42"]}],"mendeley":{"formattedCitation":"(Eagle, Dahl, Czarnecka, &amp; Lloyd, 2014)","manualFormatting":"(Eagle et al., 2014)","plainTextFormattedCitation":"(Eagle, Dahl, Czarnecka, &amp; Lloyd, 2014)","previouslyFormattedCitation":"(Eagle, Dahl, Czarnecka, &amp; Lloyd, 2014)"},"properties":{"noteIndex":0},"schema":"https://github.com/citation-style-language/schema/raw/master/csl-citation.json"}</w:instrText>
      </w:r>
      <w:r w:rsidR="003D7756">
        <w:rPr>
          <w:lang w:val="en-US"/>
        </w:rPr>
        <w:fldChar w:fldCharType="separate"/>
      </w:r>
      <w:r w:rsidR="003D7756" w:rsidRPr="003D7756">
        <w:rPr>
          <w:noProof/>
          <w:lang w:val="en-US"/>
        </w:rPr>
        <w:t>(Eagle</w:t>
      </w:r>
      <w:r w:rsidR="003D7756">
        <w:rPr>
          <w:noProof/>
          <w:lang w:val="en-US"/>
        </w:rPr>
        <w:t xml:space="preserve"> et al.</w:t>
      </w:r>
      <w:r w:rsidR="003D7756" w:rsidRPr="003D7756">
        <w:rPr>
          <w:noProof/>
          <w:lang w:val="en-US"/>
        </w:rPr>
        <w:t>, 2014)</w:t>
      </w:r>
      <w:r w:rsidR="003D7756">
        <w:rPr>
          <w:lang w:val="en-US"/>
        </w:rPr>
        <w:fldChar w:fldCharType="end"/>
      </w:r>
      <w:r>
        <w:rPr>
          <w:lang w:val="en-US"/>
        </w:rPr>
        <w:t>.</w:t>
      </w:r>
    </w:p>
    <w:p w14:paraId="31D295C7" w14:textId="5657935C" w:rsidR="002F27D9" w:rsidRDefault="002572EF" w:rsidP="001A2F70">
      <w:pPr>
        <w:spacing w:line="480" w:lineRule="auto"/>
        <w:ind w:firstLine="720"/>
        <w:jc w:val="both"/>
        <w:rPr>
          <w:lang w:val="en-US"/>
        </w:rPr>
      </w:pPr>
      <w:r>
        <w:rPr>
          <w:lang w:val="en-US"/>
        </w:rPr>
        <w:t>New products rationale</w:t>
      </w:r>
    </w:p>
    <w:p w14:paraId="78BD2169" w14:textId="7C9C8843" w:rsidR="002F27D9" w:rsidRDefault="002572EF" w:rsidP="001A2F70">
      <w:pPr>
        <w:spacing w:line="480" w:lineRule="auto"/>
        <w:ind w:firstLine="720"/>
        <w:jc w:val="both"/>
        <w:rPr>
          <w:lang w:val="en-US"/>
        </w:rPr>
      </w:pPr>
      <w:r>
        <w:rPr>
          <w:lang w:val="en-US"/>
        </w:rPr>
        <w:t xml:space="preserve">The industry has been stagnant for long which means that companies have been unable to fully engage </w:t>
      </w:r>
      <w:r w:rsidR="00073892">
        <w:rPr>
          <w:lang w:val="en-US"/>
        </w:rPr>
        <w:t>consumers</w:t>
      </w:r>
      <w:r>
        <w:rPr>
          <w:lang w:val="en-US"/>
        </w:rPr>
        <w:t xml:space="preserve"> despite the increasing demand for farm tools both locally and </w:t>
      </w:r>
      <w:r w:rsidR="00073892">
        <w:rPr>
          <w:lang w:val="en-US"/>
        </w:rPr>
        <w:t>internationally</w:t>
      </w:r>
      <w:r>
        <w:rPr>
          <w:lang w:val="en-US"/>
        </w:rPr>
        <w:t>. The company, therefore, sought to utilize the existing gap in farm tools industry which provide a reliable evaluation on important practices which help in providing an integral emphasis on important processes which assist in determining better outcomes. Gaining a competitive advantage within the industry is based on the ability of the organization to evaluate the market and consumers preferences which are essential in maintaining strong outcomes</w:t>
      </w:r>
      <w:r w:rsidR="003D7756">
        <w:rPr>
          <w:lang w:val="en-US"/>
        </w:rPr>
        <w:t xml:space="preserve"> </w:t>
      </w:r>
      <w:r w:rsidR="003D7756">
        <w:rPr>
          <w:lang w:val="en-US"/>
        </w:rPr>
        <w:fldChar w:fldCharType="begin" w:fldLock="1"/>
      </w:r>
      <w:r w:rsidR="003D7756">
        <w:rPr>
          <w:lang w:val="en-US"/>
        </w:rPr>
        <w:instrText>ADDIN CSL_CITATION {"citationItems":[{"id":"ITEM-1","itemData":{"DOI":"10.1016/j.indmarman.2015.07.002","ISBN":"00198501","ISSN":"00198501","abstract":"The growing importance of the Internet to B2B customer purchasing decisions has motivated B2B sellers to create digital content that leads potential buyers to interact with their company. This trend has engendered a new paradigm referred to as 'content marketing.' This study investigates the organizational processes for developing valuable and timely content to meet customer needs and for integrating content marketing with B2B selling processes. The results of this single case study demonstrate the use of marketing automation to generate high-quality sales leads through behavioral targeting and content personalization. The study advances understanding of the organizational processes that support content marketing and shows how content marketing can be combined with B2B selling processes via marketing automation in ways that achieve business benefits.","author":[{"dropping-particle":"","family":"Järvinen","given":"Joel","non-dropping-particle":"","parse-names":false,"suffix":""},{"dropping-particle":"","family":"Taiminen","given":"Heini","non-dropping-particle":"","parse-names":false,"suffix":""}],"container-title":"Industrial Marketing Management","id":"ITEM-1","issued":{"date-parts":[["2016"]]},"title":"Harnessing marketing automation for B2B content marketing","type":"article-journal"},"uris":["http://www.mendeley.com/documents/?uuid=ac71a567-edc8-4553-adef-daef82d6391d","http://www.mendeley.com/documents/?uuid=d7f38d08-62a4-4703-a766-8a4bb906cfd3"]}],"mendeley":{"formattedCitation":"(Järvinen &amp; Taiminen, 2016)","plainTextFormattedCitation":"(Järvinen &amp; Taiminen, 2016)","previouslyFormattedCitation":"(Järvinen &amp; Taiminen, 2016)"},"properties":{"noteIndex":0},"schema":"https://github.com/citation-style-language/schema/raw/master/csl-citation.json"}</w:instrText>
      </w:r>
      <w:r w:rsidR="003D7756">
        <w:rPr>
          <w:lang w:val="en-US"/>
        </w:rPr>
        <w:fldChar w:fldCharType="separate"/>
      </w:r>
      <w:r w:rsidR="003D7756" w:rsidRPr="003D7756">
        <w:rPr>
          <w:noProof/>
          <w:lang w:val="en-US"/>
        </w:rPr>
        <w:t>(Järvinen &amp; Taiminen, 2016)</w:t>
      </w:r>
      <w:r w:rsidR="003D7756">
        <w:rPr>
          <w:lang w:val="en-US"/>
        </w:rPr>
        <w:fldChar w:fldCharType="end"/>
      </w:r>
      <w:r>
        <w:rPr>
          <w:lang w:val="en-US"/>
        </w:rPr>
        <w:t xml:space="preserve">. </w:t>
      </w:r>
    </w:p>
    <w:p w14:paraId="6A2F5754" w14:textId="77777777" w:rsidR="002F27D9" w:rsidRPr="002F27D9" w:rsidRDefault="002572EF" w:rsidP="001A2F70">
      <w:pPr>
        <w:spacing w:line="480" w:lineRule="auto"/>
        <w:ind w:firstLine="720"/>
        <w:jc w:val="both"/>
        <w:rPr>
          <w:lang w:val="en-US"/>
        </w:rPr>
      </w:pPr>
      <w:r w:rsidRPr="002F27D9">
        <w:rPr>
          <w:lang w:val="en-US"/>
        </w:rPr>
        <w:t>Mission and vision statement</w:t>
      </w:r>
    </w:p>
    <w:p w14:paraId="35361C70" w14:textId="77777777" w:rsidR="002F27D9" w:rsidRPr="002F27D9" w:rsidRDefault="002572EF" w:rsidP="001A2F70">
      <w:pPr>
        <w:spacing w:line="480" w:lineRule="auto"/>
        <w:ind w:firstLine="720"/>
        <w:jc w:val="both"/>
        <w:rPr>
          <w:lang w:val="en-US"/>
        </w:rPr>
      </w:pPr>
      <w:r w:rsidRPr="002F27D9">
        <w:rPr>
          <w:lang w:val="en-US"/>
        </w:rPr>
        <w:t>Mission and vision statement help outline critical concepts which have been integral in developing an organization because they provide a reliable roadmap where it is easier to integrate specific underlying elements that define positive development. The ability to link the company mission and vision to strategic objectives help improve the ability of an organization to achieve a more significant level of success.</w:t>
      </w:r>
    </w:p>
    <w:p w14:paraId="77EDD63E" w14:textId="77777777" w:rsidR="002F27D9" w:rsidRPr="002F27D9" w:rsidRDefault="002572EF" w:rsidP="001A2F70">
      <w:pPr>
        <w:spacing w:line="480" w:lineRule="auto"/>
        <w:ind w:firstLine="720"/>
        <w:jc w:val="both"/>
        <w:rPr>
          <w:lang w:val="en-US"/>
        </w:rPr>
      </w:pPr>
      <w:r w:rsidRPr="002F27D9">
        <w:rPr>
          <w:lang w:val="en-US"/>
        </w:rPr>
        <w:t xml:space="preserve">Mission statement </w:t>
      </w:r>
    </w:p>
    <w:p w14:paraId="7A40F564" w14:textId="77777777" w:rsidR="002F27D9" w:rsidRPr="002F27D9" w:rsidRDefault="002572EF" w:rsidP="001A2F70">
      <w:pPr>
        <w:spacing w:line="480" w:lineRule="auto"/>
        <w:ind w:firstLine="720"/>
        <w:jc w:val="both"/>
        <w:rPr>
          <w:lang w:val="en-US"/>
        </w:rPr>
      </w:pPr>
      <w:r w:rsidRPr="002F27D9">
        <w:rPr>
          <w:lang w:val="en-US"/>
        </w:rPr>
        <w:t xml:space="preserve">The mission statement that has been outlined by the company is to produce high-quality electronic products based on customer needs. Therefore, the company seeks to integrate essential elements that define a strong focus on better elements that define positive change.  </w:t>
      </w:r>
    </w:p>
    <w:p w14:paraId="2912FAAF" w14:textId="77777777" w:rsidR="002F27D9" w:rsidRPr="002F27D9" w:rsidRDefault="002572EF" w:rsidP="001A2F70">
      <w:pPr>
        <w:spacing w:line="480" w:lineRule="auto"/>
        <w:ind w:firstLine="720"/>
        <w:jc w:val="both"/>
        <w:rPr>
          <w:lang w:val="en-US"/>
        </w:rPr>
      </w:pPr>
      <w:r w:rsidRPr="002F27D9">
        <w:rPr>
          <w:lang w:val="en-US"/>
        </w:rPr>
        <w:t xml:space="preserve">Vision statement </w:t>
      </w:r>
    </w:p>
    <w:p w14:paraId="5827E111" w14:textId="77777777" w:rsidR="002F27D9" w:rsidRPr="002F27D9" w:rsidRDefault="002572EF" w:rsidP="001A2F70">
      <w:pPr>
        <w:spacing w:line="480" w:lineRule="auto"/>
        <w:ind w:firstLine="720"/>
        <w:jc w:val="both"/>
        <w:rPr>
          <w:lang w:val="en-US"/>
        </w:rPr>
      </w:pPr>
      <w:r w:rsidRPr="002F27D9">
        <w:rPr>
          <w:lang w:val="en-US"/>
        </w:rPr>
        <w:lastRenderedPageBreak/>
        <w:t>The vision is to become a global leader in the production of electronics. Thus, the company has been focusing on utilizing the underlying technological innovation which is essential in defining better development concepts within the industry.</w:t>
      </w:r>
    </w:p>
    <w:p w14:paraId="20E15FF9" w14:textId="62D0292E" w:rsidR="002F27D9" w:rsidRDefault="002572EF" w:rsidP="001A2F70">
      <w:pPr>
        <w:spacing w:line="480" w:lineRule="auto"/>
        <w:ind w:firstLine="720"/>
        <w:jc w:val="both"/>
        <w:rPr>
          <w:lang w:val="en-US"/>
        </w:rPr>
      </w:pPr>
      <w:r>
        <w:rPr>
          <w:lang w:val="en-US"/>
        </w:rPr>
        <w:t>Marketing objective</w:t>
      </w:r>
    </w:p>
    <w:p w14:paraId="015C3501" w14:textId="37806CE5" w:rsidR="002F27D9" w:rsidRPr="002F27D9" w:rsidRDefault="002572EF" w:rsidP="001A2F70">
      <w:pPr>
        <w:spacing w:line="480" w:lineRule="auto"/>
        <w:ind w:firstLine="720"/>
        <w:jc w:val="both"/>
        <w:rPr>
          <w:lang w:val="en-US"/>
        </w:rPr>
      </w:pPr>
      <w:r w:rsidRPr="002F27D9">
        <w:rPr>
          <w:lang w:val="en-US"/>
        </w:rPr>
        <w:t xml:space="preserve">Marketing objective highlights the underlying goal that the company is aiming to achieve through the development of the marketing plan. The company has been energetically engaged </w:t>
      </w:r>
      <w:r w:rsidR="00073892" w:rsidRPr="002F27D9">
        <w:rPr>
          <w:lang w:val="en-US"/>
        </w:rPr>
        <w:t>in</w:t>
      </w:r>
      <w:r w:rsidRPr="002F27D9">
        <w:rPr>
          <w:lang w:val="en-US"/>
        </w:rPr>
        <w:t xml:space="preserve"> the local market which provides an extreme environment where it is possible to integrate better measures that help improve its development process. The company has focused on being successful within the global electronics market. The global electronics product is significantly thriving and diverse which means that it is possible for the company to be successful if they integrate essential concepts that define global development</w:t>
      </w:r>
      <w:r w:rsidR="003D7756">
        <w:rPr>
          <w:lang w:val="en-US"/>
        </w:rPr>
        <w:t xml:space="preserve"> </w:t>
      </w:r>
      <w:r w:rsidR="003D7756">
        <w:rPr>
          <w:lang w:val="en-US"/>
        </w:rPr>
        <w:fldChar w:fldCharType="begin" w:fldLock="1"/>
      </w:r>
      <w:r w:rsidR="003D7756">
        <w:rPr>
          <w:lang w:val="en-US"/>
        </w:rPr>
        <w:instrText>ADDIN CSL_CITATION {"citationItems":[{"id":"ITEM-1","itemData":{"DOI":"10.1016/j.bushor.2012.01.007","ISBN":"00076813","ISSN":"00076813","PMID":"74096831","abstract":"The 21 st century has brought both opportunities and challenges in our global, boundaryless world. Importantly, managers face a dynamic and interconnected international environment. As such, 21 st century managers need to consider the many opportunities and threats that Web 2.0, social media, and creative consumers present and the resulting respective shifts in loci of activity, power, and value. To help managers understand this new dispensation, we propose five axioms: (1) social media are always a function of the technology, culture, and government of a particular country or context; (2) local events rarely remain local; (3) global events are likely to be (re)interpreted locally; (4) creative consumers' actions and creations are also dependent on technology, culture, and government; and (5) technology is historically dependent. At the heart of these axioms is the managerial recommendation to continually stay up to date on technology, customers, and social media. To implement this managerial recommendation, marketers must truly engage customers, embrace technology, limit the power of bureaucracy, train and invest in their employees, and inform senior management about the opportunities of social media. © 2012.","author":[{"dropping-particle":"","family":"Berthon","given":"Pierre R.","non-dropping-particle":"","parse-names":false,"suffix":""},{"dropping-particle":"","family":"Pitt","given":"Leyland F.","non-dropping-particle":"","parse-names":false,"suffix":""},{"dropping-particle":"","family":"Plangger","given":"Kirk","non-dropping-particle":"","parse-names":false,"suffix":""},{"dropping-particle":"","family":"Shapiro","given":"Daniel","non-dropping-particle":"","parse-names":false,"suffix":""}],"container-title":"Business Horizons","id":"ITEM-1","issued":{"date-parts":[["2012"]]},"title":"Marketing meets Web 2.0, social media, and creative consumers: Implications for international marketing strategy","type":"article-journal"},"uris":["http://www.mendeley.com/documents/?uuid=e4bc2e28-adb5-43bc-87bf-7822a914df26","http://www.mendeley.com/documents/?uuid=5283ca3b-3ae4-4fd9-b468-3346364ff777"]}],"mendeley":{"formattedCitation":"(Berthon, Pitt, Plangger, &amp; Shapiro, 2012)","plainTextFormattedCitation":"(Berthon, Pitt, Plangger, &amp; Shapiro, 2012)","previouslyFormattedCitation":"(Berthon, Pitt, Plangger, &amp; Shapiro, 2012)"},"properties":{"noteIndex":0},"schema":"https://github.com/citation-style-language/schema/raw/master/csl-citation.json"}</w:instrText>
      </w:r>
      <w:r w:rsidR="003D7756">
        <w:rPr>
          <w:lang w:val="en-US"/>
        </w:rPr>
        <w:fldChar w:fldCharType="separate"/>
      </w:r>
      <w:r w:rsidR="003D7756" w:rsidRPr="003D7756">
        <w:rPr>
          <w:noProof/>
          <w:lang w:val="en-US"/>
        </w:rPr>
        <w:t>(Berthon, Pitt, Plangger, &amp; Shapiro, 2012)</w:t>
      </w:r>
      <w:r w:rsidR="003D7756">
        <w:rPr>
          <w:lang w:val="en-US"/>
        </w:rPr>
        <w:fldChar w:fldCharType="end"/>
      </w:r>
      <w:r w:rsidRPr="002F27D9">
        <w:rPr>
          <w:lang w:val="en-US"/>
        </w:rPr>
        <w:t xml:space="preserve">. </w:t>
      </w:r>
    </w:p>
    <w:p w14:paraId="66C8ADAA" w14:textId="010D8F66" w:rsidR="002F27D9" w:rsidRDefault="002572EF" w:rsidP="001A2F70">
      <w:pPr>
        <w:spacing w:line="480" w:lineRule="auto"/>
        <w:ind w:firstLine="720"/>
        <w:jc w:val="both"/>
        <w:rPr>
          <w:lang w:val="en-US"/>
        </w:rPr>
      </w:pPr>
      <w:r>
        <w:rPr>
          <w:lang w:val="en-US"/>
        </w:rPr>
        <w:t xml:space="preserve">Target Market </w:t>
      </w:r>
    </w:p>
    <w:p w14:paraId="0042FCA6" w14:textId="0F5E79A6" w:rsidR="002F27D9" w:rsidRDefault="002572EF" w:rsidP="001A2F70">
      <w:pPr>
        <w:spacing w:line="480" w:lineRule="auto"/>
        <w:ind w:firstLine="720"/>
        <w:jc w:val="both"/>
        <w:rPr>
          <w:lang w:val="en-US"/>
        </w:rPr>
      </w:pPr>
      <w:r>
        <w:rPr>
          <w:lang w:val="en-US"/>
        </w:rPr>
        <w:t xml:space="preserve">The target market provides a reliable evaluation on the individuals in the market that form primary </w:t>
      </w:r>
      <w:r w:rsidR="00657996">
        <w:rPr>
          <w:lang w:val="en-US"/>
        </w:rPr>
        <w:t xml:space="preserve">audience who are vital in maintaining positive outcomes. </w:t>
      </w:r>
      <w:r>
        <w:rPr>
          <w:lang w:val="en-US"/>
        </w:rPr>
        <w:t>Therefore identifying unique customer needs help define important processes which help create an intense evaluation of talented individuals who can be successfully engaged and provide a greater assessment of essential operations. Maintain a high level of focus within the market is based on the target market and how the company engages its target market based on their underlying preferences</w:t>
      </w:r>
      <w:r w:rsidR="003D7756">
        <w:rPr>
          <w:lang w:val="en-US"/>
        </w:rPr>
        <w:t xml:space="preserve"> </w:t>
      </w:r>
      <w:r w:rsidR="003D7756">
        <w:rPr>
          <w:lang w:val="en-US"/>
        </w:rPr>
        <w:fldChar w:fldCharType="begin" w:fldLock="1"/>
      </w:r>
      <w:r w:rsidR="00F82183">
        <w:rPr>
          <w:lang w:val="en-US"/>
        </w:rPr>
        <w:instrText>ADDIN CSL_CITATION {"citationItems":[{"id":"ITEM-1","itemData":{"DOI":"10.1007/s11747-011-0279-9","ISBN":"1174701102","ISSN":"00920703","PMID":"70072057","abstract":"Academics and managers have struggled for many years to understand and delineate the role of marketing in explaining business performance differences between firms. Most of the theory base for any such attempts has to be informed by strategic management theory, since the primary question that strategic management seeks to answer is why some firms outperform others over time. This paper synthesizes three major streams of thought in strategic management with the empirical and theoretical literature on strategic marketing to develop an integrative theory-based conceptual framework linking marketing with firms’ business performance.","author":[{"dropping-particle":"","family":"Morgan","given":"Neil A.","non-dropping-particle":"","parse-names":false,"suffix":""}],"container-title":"Journal of the Academy of Marketing Science","id":"ITEM-1","issue":"1","issued":{"date-parts":[["2012"]]},"page":"102-119","title":"Marketing and business performance","type":"article-journal","volume":"40"},"uris":["http://www.mendeley.com/documents/?uuid=9b99031f-aac7-49f7-8a72-0d15ecb6b7d2"]}],"mendeley":{"formattedCitation":"(Morgan, 2012)","plainTextFormattedCitation":"(Morgan, 2012)","previouslyFormattedCitation":"(Morgan, 2012)"},"properties":{"noteIndex":0},"schema":"https://github.com/citation-style-language/schema/raw/master/csl-citation.json"}</w:instrText>
      </w:r>
      <w:r w:rsidR="003D7756">
        <w:rPr>
          <w:lang w:val="en-US"/>
        </w:rPr>
        <w:fldChar w:fldCharType="separate"/>
      </w:r>
      <w:r w:rsidR="003D7756" w:rsidRPr="003D7756">
        <w:rPr>
          <w:noProof/>
          <w:lang w:val="en-US"/>
        </w:rPr>
        <w:t>(Morgan, 2012)</w:t>
      </w:r>
      <w:r w:rsidR="003D7756">
        <w:rPr>
          <w:lang w:val="en-US"/>
        </w:rPr>
        <w:fldChar w:fldCharType="end"/>
      </w:r>
      <w:r>
        <w:rPr>
          <w:lang w:val="en-US"/>
        </w:rPr>
        <w:t>.</w:t>
      </w:r>
    </w:p>
    <w:p w14:paraId="7F7A5A41" w14:textId="6F49CB52" w:rsidR="002F27D9" w:rsidRDefault="002572EF" w:rsidP="001A2F70">
      <w:pPr>
        <w:spacing w:line="480" w:lineRule="auto"/>
        <w:ind w:firstLine="720"/>
        <w:jc w:val="both"/>
        <w:rPr>
          <w:lang w:val="en-US"/>
        </w:rPr>
      </w:pPr>
      <w:r>
        <w:rPr>
          <w:lang w:val="en-US"/>
        </w:rPr>
        <w:t xml:space="preserve">Demographic profile </w:t>
      </w:r>
    </w:p>
    <w:p w14:paraId="7D0A0B29" w14:textId="074E9EA4" w:rsidR="002F27D9" w:rsidRDefault="002572EF" w:rsidP="001A2F70">
      <w:pPr>
        <w:spacing w:line="480" w:lineRule="auto"/>
        <w:ind w:firstLine="720"/>
        <w:jc w:val="both"/>
        <w:rPr>
          <w:lang w:val="en-US"/>
        </w:rPr>
      </w:pPr>
      <w:r>
        <w:rPr>
          <w:lang w:val="en-US"/>
        </w:rPr>
        <w:t>Age: 23-55 years</w:t>
      </w:r>
    </w:p>
    <w:p w14:paraId="698CEF14" w14:textId="435FC01C" w:rsidR="002F27D9" w:rsidRDefault="002572EF" w:rsidP="001A2F70">
      <w:pPr>
        <w:spacing w:line="480" w:lineRule="auto"/>
        <w:ind w:firstLine="720"/>
        <w:jc w:val="both"/>
        <w:rPr>
          <w:lang w:val="en-US"/>
        </w:rPr>
      </w:pPr>
      <w:r>
        <w:rPr>
          <w:lang w:val="en-US"/>
        </w:rPr>
        <w:t>Location: Urban and Rural</w:t>
      </w:r>
    </w:p>
    <w:p w14:paraId="3298CE6A" w14:textId="7335FCC4" w:rsidR="002F27D9" w:rsidRDefault="002572EF" w:rsidP="001A2F70">
      <w:pPr>
        <w:spacing w:line="480" w:lineRule="auto"/>
        <w:ind w:firstLine="720"/>
        <w:jc w:val="both"/>
        <w:rPr>
          <w:lang w:val="en-US"/>
        </w:rPr>
      </w:pPr>
      <w:r>
        <w:rPr>
          <w:lang w:val="en-US"/>
        </w:rPr>
        <w:lastRenderedPageBreak/>
        <w:t>Gender: Both Male and Female</w:t>
      </w:r>
    </w:p>
    <w:p w14:paraId="1F54687D" w14:textId="60C669FD" w:rsidR="002F27D9" w:rsidRDefault="002572EF" w:rsidP="001A2F70">
      <w:pPr>
        <w:spacing w:line="480" w:lineRule="auto"/>
        <w:ind w:firstLine="720"/>
        <w:jc w:val="both"/>
        <w:rPr>
          <w:lang w:val="en-US"/>
        </w:rPr>
      </w:pPr>
      <w:r>
        <w:rPr>
          <w:lang w:val="en-US"/>
        </w:rPr>
        <w:t xml:space="preserve">Income level: From - $15,000 </w:t>
      </w:r>
    </w:p>
    <w:p w14:paraId="26830A62" w14:textId="3B362B00" w:rsidR="002F27D9" w:rsidRDefault="002572EF" w:rsidP="001A2F70">
      <w:pPr>
        <w:spacing w:line="480" w:lineRule="auto"/>
        <w:ind w:firstLine="720"/>
        <w:jc w:val="both"/>
        <w:rPr>
          <w:lang w:val="en-US"/>
        </w:rPr>
      </w:pPr>
      <w:r>
        <w:rPr>
          <w:lang w:val="en-US"/>
        </w:rPr>
        <w:t>Education level: All levels</w:t>
      </w:r>
    </w:p>
    <w:p w14:paraId="74B21B92" w14:textId="4439B264" w:rsidR="002F27D9" w:rsidRDefault="002572EF" w:rsidP="001A2F70">
      <w:pPr>
        <w:spacing w:line="480" w:lineRule="auto"/>
        <w:ind w:firstLine="720"/>
        <w:jc w:val="both"/>
        <w:rPr>
          <w:lang w:val="en-US"/>
        </w:rPr>
      </w:pPr>
      <w:r>
        <w:rPr>
          <w:lang w:val="en-US"/>
        </w:rPr>
        <w:t xml:space="preserve">Marital status: Single and Married </w:t>
      </w:r>
    </w:p>
    <w:p w14:paraId="34B1E11F" w14:textId="42EAB301" w:rsidR="002F27D9" w:rsidRDefault="002572EF" w:rsidP="001A2F70">
      <w:pPr>
        <w:spacing w:line="480" w:lineRule="auto"/>
        <w:ind w:firstLine="720"/>
        <w:jc w:val="both"/>
        <w:rPr>
          <w:lang w:val="en-US"/>
        </w:rPr>
      </w:pPr>
      <w:r>
        <w:rPr>
          <w:lang w:val="en-US"/>
        </w:rPr>
        <w:t>Occupation: Working Class</w:t>
      </w:r>
    </w:p>
    <w:p w14:paraId="2C638F12" w14:textId="1A948D23" w:rsidR="002F27D9" w:rsidRDefault="002572EF" w:rsidP="001A2F70">
      <w:pPr>
        <w:spacing w:line="480" w:lineRule="auto"/>
        <w:ind w:firstLine="720"/>
        <w:jc w:val="both"/>
        <w:rPr>
          <w:lang w:val="en-US"/>
        </w:rPr>
      </w:pPr>
      <w:r>
        <w:rPr>
          <w:lang w:val="en-US"/>
        </w:rPr>
        <w:t>Ethnic background: All</w:t>
      </w:r>
    </w:p>
    <w:p w14:paraId="4FF73CF3" w14:textId="0FCBE119" w:rsidR="002F27D9" w:rsidRDefault="002572EF" w:rsidP="001A2F70">
      <w:pPr>
        <w:spacing w:line="480" w:lineRule="auto"/>
        <w:ind w:firstLine="720"/>
        <w:jc w:val="both"/>
        <w:rPr>
          <w:lang w:val="en-US"/>
        </w:rPr>
      </w:pPr>
      <w:r>
        <w:rPr>
          <w:lang w:val="en-US"/>
        </w:rPr>
        <w:t>The critical focus on this target market provides an integral</w:t>
      </w:r>
      <w:r w:rsidR="00657996">
        <w:rPr>
          <w:lang w:val="en-US"/>
        </w:rPr>
        <w:t xml:space="preserve"> in determining key changes that need to be considered in maintaining positive results. </w:t>
      </w:r>
      <w:r>
        <w:rPr>
          <w:lang w:val="en-US"/>
        </w:rPr>
        <w:t xml:space="preserve"> There is a need to understand important changes which provide a</w:t>
      </w:r>
      <w:r w:rsidR="00657996">
        <w:rPr>
          <w:lang w:val="en-US"/>
        </w:rPr>
        <w:t xml:space="preserve"> strong emphasis on essential concepts which need to be evaluated in improving organizational outcomes.  </w:t>
      </w:r>
    </w:p>
    <w:p w14:paraId="6DBB6966" w14:textId="340A7C80" w:rsidR="002F27D9" w:rsidRDefault="002572EF" w:rsidP="001A2F70">
      <w:pPr>
        <w:spacing w:line="480" w:lineRule="auto"/>
        <w:ind w:firstLine="720"/>
        <w:jc w:val="both"/>
        <w:rPr>
          <w:lang w:val="en-US"/>
        </w:rPr>
      </w:pPr>
      <w:r>
        <w:rPr>
          <w:lang w:val="en-US"/>
        </w:rPr>
        <w:t xml:space="preserve">Competition </w:t>
      </w:r>
    </w:p>
    <w:p w14:paraId="11571398" w14:textId="692E54F0" w:rsidR="002F27D9" w:rsidRDefault="002572EF" w:rsidP="001A2F70">
      <w:pPr>
        <w:spacing w:line="480" w:lineRule="auto"/>
        <w:ind w:firstLine="720"/>
        <w:jc w:val="both"/>
        <w:rPr>
          <w:lang w:val="en-US"/>
        </w:rPr>
      </w:pPr>
      <w:r>
        <w:rPr>
          <w:lang w:val="en-US"/>
        </w:rPr>
        <w:t xml:space="preserve">Competition across different industries provide a strong focus and help an organization integrate key outcomes based on the operational strategies that are put in place. </w:t>
      </w:r>
      <w:r w:rsidR="007D6DB1">
        <w:rPr>
          <w:lang w:val="en-US"/>
        </w:rPr>
        <w:t xml:space="preserve">Strategic </w:t>
      </w:r>
      <w:r>
        <w:rPr>
          <w:lang w:val="en-US"/>
        </w:rPr>
        <w:t>assessment</w:t>
      </w:r>
      <w:r w:rsidR="007D6DB1">
        <w:rPr>
          <w:lang w:val="en-US"/>
        </w:rPr>
        <w:t xml:space="preserve"> of </w:t>
      </w:r>
      <w:r>
        <w:rPr>
          <w:lang w:val="en-US"/>
        </w:rPr>
        <w:t>significant</w:t>
      </w:r>
      <w:r w:rsidR="007D6DB1">
        <w:rPr>
          <w:lang w:val="en-US"/>
        </w:rPr>
        <w:t xml:space="preserve"> changes </w:t>
      </w:r>
      <w:r>
        <w:rPr>
          <w:lang w:val="en-US"/>
        </w:rPr>
        <w:t>offer</w:t>
      </w:r>
      <w:r w:rsidR="007D6DB1">
        <w:rPr>
          <w:lang w:val="en-US"/>
        </w:rPr>
        <w:t xml:space="preserve">s a strong emphasis on the increasing competition within the industry. </w:t>
      </w:r>
      <w:r>
        <w:rPr>
          <w:lang w:val="en-US"/>
        </w:rPr>
        <w:t>T</w:t>
      </w:r>
      <w:r w:rsidR="007D6DB1">
        <w:rPr>
          <w:lang w:val="en-US"/>
        </w:rPr>
        <w:t>he leading competitors include John Deere, New Holland, Mahindra and Mahindra, and Massey Fergusson. Defining better organizational outcomes is based on a strategic understanding of important processes which need to be evaluated and help outline better results. Therefore the leading competitor includes John Deer and Massey Fergusson considering their global presence as well as being the most revered farm tool companies in the world</w:t>
      </w:r>
      <w:r w:rsidR="00F82183">
        <w:rPr>
          <w:lang w:val="en-US"/>
        </w:rPr>
        <w:t xml:space="preserve"> </w:t>
      </w:r>
      <w:r w:rsidR="00F82183">
        <w:rPr>
          <w:lang w:val="en-US"/>
        </w:rPr>
        <w:fldChar w:fldCharType="begin" w:fldLock="1"/>
      </w:r>
      <w:r w:rsidR="00F82183">
        <w:rPr>
          <w:lang w:val="en-US"/>
        </w:rPr>
        <w:instrText>ADDIN CSL_CITATION {"citationItems":[{"id":"ITEM-1","itemData":{"DOI":"10.1007/s10460-017-9832-6","ISBN":"0123456789","ISSN":"15728366","abstract":"Beginning farmer initiatives like the USDA's Beginning Farmer and Rancher Development Program (BFRDP), farm incubators, and small-scale marketing innovations offer new entrant farmers agricultural training, marketing and business assistance, and farmland loans. These programs align with alternative food movement goals to revitalize the anemic U.S. small farm sector and repopulate landscapes with socially and environmentally diversified farms. Yet even as these initiatives seek to support prospective farmers with tools for success through a knowledge dissemination model, they remain mostly individualistic and entrepreneurial measures that overlook structural barriers to productive and economic success within U.S. agriculture. Analysis of the BFRDP's funding history and discourse reveals a ``knowledge deficit'' based program focused on the technical rather than the structural aspects of beginning farming. This is contrasted with qualitative analysis of beginning farmer experiences in California's Central Coast region. The discrepancies between the farmer experiences and national structure of the BFRDP program ultimately reveal a policy mismatch between the needs of some beginning farmers and the programs intended to support them.","author":[{"dropping-particle":"","family":"Calo","given":"Adam","non-dropping-particle":"","parse-names":false,"suffix":""}],"container-title":"Agriculture and Human Values","id":"ITEM-1","issued":{"date-parts":[["2018"]]},"title":"How knowledge deficit interventions fail to resolve beginning farmer challenges","type":"article-journal"},"uris":["http://www.mendeley.com/documents/?uuid=1d693d5a-2175-42d8-8259-c6db11c41da2","http://www.mendeley.com/documents/?uuid=bc134374-3a19-495b-95f3-dbafdb4f23d2"]}],"mendeley":{"formattedCitation":"(Calo, 2018)","plainTextFormattedCitation":"(Calo, 2018)","previouslyFormattedCitation":"(Calo, 2018)"},"properties":{"noteIndex":0},"schema":"https://github.com/citation-style-language/schema/raw/master/csl-citation.json"}</w:instrText>
      </w:r>
      <w:r w:rsidR="00F82183">
        <w:rPr>
          <w:lang w:val="en-US"/>
        </w:rPr>
        <w:fldChar w:fldCharType="separate"/>
      </w:r>
      <w:r w:rsidR="00F82183" w:rsidRPr="00F82183">
        <w:rPr>
          <w:noProof/>
          <w:lang w:val="en-US"/>
        </w:rPr>
        <w:t>(Calo, 2018)</w:t>
      </w:r>
      <w:r w:rsidR="00F82183">
        <w:rPr>
          <w:lang w:val="en-US"/>
        </w:rPr>
        <w:fldChar w:fldCharType="end"/>
      </w:r>
      <w:r w:rsidR="007D6DB1">
        <w:rPr>
          <w:lang w:val="en-US"/>
        </w:rPr>
        <w:t>.</w:t>
      </w:r>
    </w:p>
    <w:p w14:paraId="7F8CB927" w14:textId="7F04FD3D" w:rsidR="007D6DB1" w:rsidRDefault="002572EF" w:rsidP="001A2F70">
      <w:pPr>
        <w:spacing w:line="480" w:lineRule="auto"/>
        <w:ind w:firstLine="720"/>
        <w:jc w:val="both"/>
        <w:rPr>
          <w:lang w:val="en-US"/>
        </w:rPr>
      </w:pPr>
      <w:r w:rsidRPr="007D6DB1">
        <w:rPr>
          <w:lang w:val="en-US"/>
        </w:rPr>
        <w:t xml:space="preserve">Competition within the electronics industry both locally and internationally has been significantly increasing which provide the company with additional pressure to ensure that it implements better strategies that can help in improving its competitive advantage in the market. </w:t>
      </w:r>
      <w:r w:rsidRPr="007D6DB1">
        <w:rPr>
          <w:lang w:val="en-US"/>
        </w:rPr>
        <w:lastRenderedPageBreak/>
        <w:t xml:space="preserve">Emerging companies have a difficult task in gaining market share because of the current dominance. Being successful within the industry require better planning and incorporating significant unique incentives and benefits that can promote positive organizational development. </w:t>
      </w:r>
      <w:r>
        <w:rPr>
          <w:lang w:val="en-US"/>
        </w:rPr>
        <w:t xml:space="preserve"> Climax Inc. thus will focus on adopting a differentiated strategy in the world with a critical focus on the underlying changes which provide a greater evaluation on important concepts which help in attaining better outcomes</w:t>
      </w:r>
      <w:r w:rsidR="00F82183">
        <w:rPr>
          <w:lang w:val="en-US"/>
        </w:rPr>
        <w:t xml:space="preserve"> </w:t>
      </w:r>
      <w:r w:rsidR="00F82183">
        <w:rPr>
          <w:lang w:val="en-US"/>
        </w:rPr>
        <w:fldChar w:fldCharType="begin" w:fldLock="1"/>
      </w:r>
      <w:r w:rsidR="00F82183">
        <w:rPr>
          <w:lang w:val="en-US"/>
        </w:rPr>
        <w:instrText>ADDIN CSL_CITATION {"citationItems":[{"id":"ITEM-1","itemData":{"DOI":"10.5539/jas.v9n3p128","ISSN":"1916-9760","abstract":"&lt;p&gt;Access to markets by Smallholder farmers has conventionally been constrained by lack of market information. Efforts to strengthen access of farmers to markets has triggered the mushrooming of several projects that embrace ICT tools in promoting access to competitive market information. Nevertheless, most farmers still lack access to accurate market information, such as existing commodity prices. This study examines the determinants of the use of ICT tools among smallholder farmers for agricultural transactions. The study uses Kenya Agricultural Commodity Exchange (KACE), one of the ICT-based marketing platform, as the case study. The objectives of the research are to determine the factors that influence access to agricultural information, and establishing factors that determine the intensity of use of ICT tools in accessing agricultural information. Survey was conducted among 136 smallholder farmers in Bungoma County. Both purposive, and multi-stage sampling were used to obtain the sample for this research. The study finds that several farmer characteristics, farm and capital endowment factors affect the use of ICT tools, particularly mobile phones. Gender, age, literacy level, affordability, perceived importance, mobile ownership and group membership were found to be significant in influencing the decision to use KACE ICT tools and the intensity of use of these tools for agricultural transaction activities. The study further recommends for policies that support the expansion of ICT projects, training on their applications and sensitization on the use of these platforms. The study suggests for policies to address gender disparities on access and use of ICT tools for agricultural transaction.&lt;/p&gt;","author":[{"dropping-particle":"","family":"Wawire","given":"Amos W.","non-dropping-particle":"","parse-names":false,"suffix":""},{"dropping-particle":"","family":"Wangia","given":"Sabina M.","non-dropping-particle":"","parse-names":false,"suffix":""},{"dropping-particle":"","family":"Okello","given":"Julius J.","non-dropping-particle":"","parse-names":false,"suffix":""}],"container-title":"Journal of Agricultural Science","id":"ITEM-1","issued":{"date-parts":[["2017"]]},"title":"Determinants of Use of Information and Communication Technologies in Agriculture: The Case of Kenya Agricultural Commodity Exchange in Bungoma County, Kenya","type":"article-journal"},"uris":["http://www.mendeley.com/documents/?uuid=532f086a-b223-4e73-9c89-83f25347013f","http://www.mendeley.com/documents/?uuid=31b4415f-053b-47fb-9d6f-2193a9405932"]}],"mendeley":{"formattedCitation":"(Wawire, Wangia, &amp; Okello, 2017)","plainTextFormattedCitation":"(Wawire, Wangia, &amp; Okello, 2017)","previouslyFormattedCitation":"(Wawire, Wangia, &amp; Okello, 2017)"},"properties":{"noteIndex":0},"schema":"https://github.com/citation-style-language/schema/raw/master/csl-citation.json"}</w:instrText>
      </w:r>
      <w:r w:rsidR="00F82183">
        <w:rPr>
          <w:lang w:val="en-US"/>
        </w:rPr>
        <w:fldChar w:fldCharType="separate"/>
      </w:r>
      <w:r w:rsidR="00F82183" w:rsidRPr="00F82183">
        <w:rPr>
          <w:noProof/>
          <w:lang w:val="en-US"/>
        </w:rPr>
        <w:t>(Wawire, Wangia, &amp; Okello, 2017)</w:t>
      </w:r>
      <w:r w:rsidR="00F82183">
        <w:rPr>
          <w:lang w:val="en-US"/>
        </w:rPr>
        <w:fldChar w:fldCharType="end"/>
      </w:r>
      <w:r>
        <w:rPr>
          <w:lang w:val="en-US"/>
        </w:rPr>
        <w:t>.</w:t>
      </w:r>
    </w:p>
    <w:p w14:paraId="5521A421" w14:textId="278E740D" w:rsidR="007D6DB1" w:rsidRDefault="002572EF" w:rsidP="001A2F70">
      <w:pPr>
        <w:spacing w:line="480" w:lineRule="auto"/>
        <w:ind w:firstLine="720"/>
        <w:jc w:val="both"/>
        <w:rPr>
          <w:lang w:val="en-US"/>
        </w:rPr>
      </w:pPr>
      <w:r>
        <w:rPr>
          <w:lang w:val="en-US"/>
        </w:rPr>
        <w:t xml:space="preserve">Products and services feature </w:t>
      </w:r>
    </w:p>
    <w:p w14:paraId="1F06D909" w14:textId="3E3D9602" w:rsidR="007D6DB1" w:rsidRDefault="002572EF" w:rsidP="001A2F70">
      <w:pPr>
        <w:spacing w:line="480" w:lineRule="auto"/>
        <w:ind w:firstLine="720"/>
        <w:jc w:val="both"/>
        <w:rPr>
          <w:lang w:val="en-US"/>
        </w:rPr>
      </w:pPr>
      <w:r>
        <w:rPr>
          <w:lang w:val="en-US"/>
        </w:rPr>
        <w:t xml:space="preserve">The company will focus on defining a more significant influence on </w:t>
      </w:r>
      <w:r w:rsidR="00EC7510">
        <w:rPr>
          <w:lang w:val="en-US"/>
        </w:rPr>
        <w:t>essentia</w:t>
      </w:r>
      <w:r>
        <w:rPr>
          <w:lang w:val="en-US"/>
        </w:rPr>
        <w:t xml:space="preserve">l processes </w:t>
      </w:r>
      <w:r w:rsidR="00EC7510">
        <w:rPr>
          <w:lang w:val="en-US"/>
        </w:rPr>
        <w:t xml:space="preserve">that outline </w:t>
      </w:r>
      <w:r>
        <w:rPr>
          <w:lang w:val="en-US"/>
        </w:rPr>
        <w:t xml:space="preserve">important concepts which </w:t>
      </w:r>
      <w:r w:rsidR="00EC7510">
        <w:rPr>
          <w:lang w:val="en-US"/>
        </w:rPr>
        <w:t xml:space="preserve">aid in establishing better organizational results. </w:t>
      </w:r>
      <w:r>
        <w:rPr>
          <w:lang w:val="en-US"/>
        </w:rPr>
        <w:t xml:space="preserve"> It is critical to determine important measures which help attain more meaningful outcomes. Improving organizational development help define significant changes which help in outlining key concepts which are essential in maintaining better organizational development. Farm tools are diverse, and thus the company will seek to incorporate technology in ensuring that they are productively engaged.  </w:t>
      </w:r>
    </w:p>
    <w:p w14:paraId="19C1C8E9" w14:textId="3FB7CEF9" w:rsidR="007D6DB1" w:rsidRDefault="002572EF" w:rsidP="001A2F70">
      <w:pPr>
        <w:spacing w:line="480" w:lineRule="auto"/>
        <w:ind w:firstLine="720"/>
        <w:jc w:val="both"/>
        <w:rPr>
          <w:lang w:val="en-US"/>
        </w:rPr>
      </w:pPr>
      <w:r>
        <w:rPr>
          <w:lang w:val="en-US"/>
        </w:rPr>
        <w:t xml:space="preserve"> A strong focus on technology provides essential changes which are </w:t>
      </w:r>
      <w:r w:rsidR="00EC7510">
        <w:rPr>
          <w:lang w:val="en-US"/>
        </w:rPr>
        <w:t>vital</w:t>
      </w:r>
      <w:r>
        <w:rPr>
          <w:lang w:val="en-US"/>
        </w:rPr>
        <w:t xml:space="preserve"> in maintaining positive organizational </w:t>
      </w:r>
      <w:r w:rsidR="00EC7510">
        <w:rPr>
          <w:lang w:val="en-US"/>
        </w:rPr>
        <w:t>results</w:t>
      </w:r>
      <w:r>
        <w:rPr>
          <w:lang w:val="en-US"/>
        </w:rPr>
        <w:t>. There are limited companies in the market which are effectively engaged in offering a strong emphasis on crucial changes which help in outlining key outcomes which assist in defining positive organizational results. Therefore the products will thrive based on the fact that they are unique and are centrally developed based on highly innovative technology.</w:t>
      </w:r>
    </w:p>
    <w:p w14:paraId="2F2685DC" w14:textId="5E515B60" w:rsidR="007D6DB1" w:rsidRDefault="002572EF" w:rsidP="001A2F70">
      <w:pPr>
        <w:spacing w:line="480" w:lineRule="auto"/>
        <w:ind w:firstLine="720"/>
        <w:jc w:val="both"/>
        <w:rPr>
          <w:lang w:val="en-US"/>
        </w:rPr>
      </w:pPr>
      <w:r>
        <w:rPr>
          <w:lang w:val="en-US"/>
        </w:rPr>
        <w:t xml:space="preserve">Core strategy </w:t>
      </w:r>
    </w:p>
    <w:p w14:paraId="722B5EF8" w14:textId="29842F56" w:rsidR="007D6DB1" w:rsidRDefault="002572EF" w:rsidP="001A2F70">
      <w:pPr>
        <w:spacing w:line="480" w:lineRule="auto"/>
        <w:ind w:firstLine="720"/>
        <w:jc w:val="both"/>
        <w:rPr>
          <w:lang w:val="en-US"/>
        </w:rPr>
      </w:pPr>
      <w:r>
        <w:rPr>
          <w:lang w:val="en-US"/>
        </w:rPr>
        <w:t xml:space="preserve">Product and service differentiation is a key strategy that will help the company maintain high standards within the industry and gain competitive advantage. There is a need to provide a reliable evaluation of fundamental changes which help in outlining essential elements which </w:t>
      </w:r>
      <w:r>
        <w:rPr>
          <w:lang w:val="en-US"/>
        </w:rPr>
        <w:lastRenderedPageBreak/>
        <w:t>provide a highly competitive environment within the industry. There is also a critical focus on integrating disruptive strategies which offer a strong focus on essential measures where it is possible to understand fundamental processes that are essential and help define positive outcomes. A higher evaluation of significant changes within the industry provides a strong emphasis on critical concepts which define better development. The company mission and vision statement focus on creating a highly effective business environment with a significant focus on the level of competition within the industry</w:t>
      </w:r>
      <w:r w:rsidR="00F82183">
        <w:rPr>
          <w:lang w:val="en-US"/>
        </w:rPr>
        <w:t xml:space="preserve"> </w:t>
      </w:r>
      <w:r w:rsidR="00F82183">
        <w:rPr>
          <w:lang w:val="en-US"/>
        </w:rPr>
        <w:fldChar w:fldCharType="begin" w:fldLock="1"/>
      </w:r>
      <w:r w:rsidR="00F82183">
        <w:rPr>
          <w:lang w:val="en-US"/>
        </w:rPr>
        <w:instrText>ADDIN CSL_CITATION {"citationItems":[{"id":"ITEM-1","itemData":{"DOI":"10.1007/978-1-4614-4930-0_17","ISBN":"9781461449300","abstract":"This Book Looks At The Application Of A Variety Of Biotechnologies To Agricultural Development. It Addresses Recent Concerns About The Sterile-Seed Terminator Technology And About The Biosafety Of Genetically Modified Foods/Crops, And Assesses The Potential Of Apomixis As A Possible Countervailing Strategy To The Adverse Effects Of The Terminator, For Some Crops. The Book Introduces The Concepts Of Participatory Plant Breeding And Diversified Site-Or Field Potential To Meet The Needs Of Small-Scale Farmers In Developing Countries Whose Traditional Wisdom And Indigenous Knowledge Can Be Put To Good Use Through Inputs From Modern Biotechnology For The Benefit Fo Humanity. The Text Provides A Valuable Source Of Recent Information Not Only To Researchers Of Agriculture And Biotechnology But Also Meets The Course Requirements Of Students In Agronomy, Genetics And Plant Breeding, Crop Physiology And Related Disciplines In Agriculture, Biotechnology, Food Processing, Nutrition And Home Science. Contents Chapter 1: General Introduction; Definition And Perspective Of Biotechnology, New Technologies, Scope, Potential &amp; Achievements, Introduction To Agriculture, Effects Of Biotechnology On Agrobiodiversity, Biotechnology For Agriculture, Genetic Manipulation In Plant Breeding, Crop Plants, Dangers Of Genetic Uniformity, Preservation And Exchange Of Genetic Resources, Use Of Transgenic Plants In Industry, Agriculture And Medicine, Safeguarding Domestic Animal Diversity Through Animal Husbandry, Advances In Animal Breeding Technology, Animal Byproducts, Transgenic Livestock, Transgenic Sheep And Wool Growth, Genetically-Modified Food, Biotechnology And Sustainable Development, References; Chapter 2: Techniques; Introduction, Plant Tissue Culture And Its Impact On Agriculture, Gene Transfer To Plants, Direct Gene Transfer, Germplasm Storage, Transgenic Plants For Non-Transgenic Crops, Tilling-A Non-Transgenic Approach To Wheat Improvement, Applications Of Bioluminescence And Chemiluminescene, Proprietary Technologies, Genetic Use Restriction Technologies (Gurts), Apomixis, Plant Biotechnology Tools For Developing World, References; Chapter 3: Biodiversity And Agriculture; Introduction, Crop Diversity, The Struggle For Genetic Resources, Double-Green Revolution, Hormones And Green Revolution, Global Climate Change And Biodiversity, Complementarity As Biodiversity Indicator, Genetic Diversity And Gene Control In Rice, Genetic Improvement In Rice, Golden Rice, Reference…","author":[{"dropping-particle":"","family":"Phillips","given":"Michael J.","non-dropping-particle":"","parse-names":false,"suffix":""}],"container-title":"US Programs Affecting Food and Agricultural Marketing","id":"ITEM-1","issued":{"date-parts":[["2013"]]},"title":"Agricultural biotechnology issues","type":"chapter"},"uris":["http://www.mendeley.com/documents/?uuid=78dc0001-7a73-4064-aac2-fa6d60a6545a","http://www.mendeley.com/documents/?uuid=be5f275e-1c6d-4c59-8c6a-8c42415805c7"]}],"mendeley":{"formattedCitation":"(Phillips, 2013)","plainTextFormattedCitation":"(Phillips, 2013)","previouslyFormattedCitation":"(Phillips, 2013)"},"properties":{"noteIndex":0},"schema":"https://github.com/citation-style-language/schema/raw/master/csl-citation.json"}</w:instrText>
      </w:r>
      <w:r w:rsidR="00F82183">
        <w:rPr>
          <w:lang w:val="en-US"/>
        </w:rPr>
        <w:fldChar w:fldCharType="separate"/>
      </w:r>
      <w:r w:rsidR="00F82183" w:rsidRPr="00F82183">
        <w:rPr>
          <w:noProof/>
          <w:lang w:val="en-US"/>
        </w:rPr>
        <w:t>(Phillips, 2013)</w:t>
      </w:r>
      <w:r w:rsidR="00F82183">
        <w:rPr>
          <w:lang w:val="en-US"/>
        </w:rPr>
        <w:fldChar w:fldCharType="end"/>
      </w:r>
      <w:r>
        <w:rPr>
          <w:lang w:val="en-US"/>
        </w:rPr>
        <w:t>.</w:t>
      </w:r>
    </w:p>
    <w:p w14:paraId="422F70DC" w14:textId="39462F6F" w:rsidR="00F70172" w:rsidRDefault="002572EF" w:rsidP="001A2F70">
      <w:pPr>
        <w:spacing w:line="480" w:lineRule="auto"/>
        <w:ind w:firstLine="720"/>
        <w:jc w:val="both"/>
        <w:rPr>
          <w:lang w:val="en-US"/>
        </w:rPr>
      </w:pPr>
      <w:r>
        <w:rPr>
          <w:lang w:val="en-US"/>
        </w:rPr>
        <w:t>Marketing Mix: communication and Promotion</w:t>
      </w:r>
    </w:p>
    <w:p w14:paraId="221EF985" w14:textId="77777777" w:rsidR="00C74DCB" w:rsidRPr="00C74DCB" w:rsidRDefault="002572EF" w:rsidP="001A2F70">
      <w:pPr>
        <w:spacing w:line="480" w:lineRule="auto"/>
        <w:ind w:firstLine="720"/>
        <w:jc w:val="both"/>
        <w:rPr>
          <w:lang w:val="en-US"/>
        </w:rPr>
      </w:pPr>
      <w:r w:rsidRPr="00C74DCB">
        <w:rPr>
          <w:lang w:val="en-US"/>
        </w:rPr>
        <w:t xml:space="preserve">Marketing mix outlines essential strategies that are put in place which define a better understanding on the processes that the company has put in place as well as important considerations that can be considered in creating a profoundly transformed operational setting where it is possible to achieve a higher level of organizational development. Marketing mix focuses on pricing, product, promotion and distribution strategies which are vital in defining company engagement within the market.  </w:t>
      </w:r>
    </w:p>
    <w:p w14:paraId="4FA8E3CE" w14:textId="77777777" w:rsidR="00C74DCB" w:rsidRPr="00C74DCB" w:rsidRDefault="002572EF" w:rsidP="001A2F70">
      <w:pPr>
        <w:spacing w:line="480" w:lineRule="auto"/>
        <w:ind w:firstLine="720"/>
        <w:jc w:val="both"/>
        <w:rPr>
          <w:lang w:val="en-US"/>
        </w:rPr>
      </w:pPr>
      <w:bookmarkStart w:id="1" w:name="_Toc528145533"/>
      <w:r w:rsidRPr="00C74DCB">
        <w:rPr>
          <w:lang w:val="en-US"/>
        </w:rPr>
        <w:t>Pricing strategy</w:t>
      </w:r>
      <w:bookmarkEnd w:id="1"/>
      <w:r w:rsidRPr="00C74DCB">
        <w:rPr>
          <w:lang w:val="en-US"/>
        </w:rPr>
        <w:t xml:space="preserve"> </w:t>
      </w:r>
    </w:p>
    <w:p w14:paraId="1D38239D" w14:textId="2931C980" w:rsidR="00C74DCB" w:rsidRDefault="002572EF" w:rsidP="001A2F70">
      <w:pPr>
        <w:spacing w:line="480" w:lineRule="auto"/>
        <w:ind w:firstLine="720"/>
        <w:jc w:val="both"/>
        <w:rPr>
          <w:lang w:val="en-US"/>
        </w:rPr>
      </w:pPr>
      <w:r>
        <w:rPr>
          <w:lang w:val="en-US"/>
        </w:rPr>
        <w:t>Climax Inc.</w:t>
      </w:r>
      <w:r w:rsidRPr="00C74DCB">
        <w:rPr>
          <w:lang w:val="en-US"/>
        </w:rPr>
        <w:t xml:space="preserve"> needs to embrace a necessary approach that will focus on improving the company market share to gain sustainable organization development. The pricing strategy that the company will outline will also be in relation to the demand in the market, and thus it will employ an open marketing strategy where the consumers of the company products and service have a role to play since the company products are developed to fit into the market demands with the current price variations. Therefore, ensuring that the company products are affordable is in improving its market engagement and achievement of its set goals</w:t>
      </w:r>
      <w:r w:rsidR="00F82183">
        <w:rPr>
          <w:lang w:val="en-US"/>
        </w:rPr>
        <w:t xml:space="preserve"> </w:t>
      </w:r>
      <w:r w:rsidR="00F82183">
        <w:rPr>
          <w:lang w:val="en-US"/>
        </w:rPr>
        <w:fldChar w:fldCharType="begin" w:fldLock="1"/>
      </w:r>
      <w:r w:rsidR="00F82183">
        <w:rPr>
          <w:lang w:val="en-US"/>
        </w:rPr>
        <w:instrText>ADDIN CSL_CITATION {"citationItems":[{"id":"ITEM-1","itemData":{"DOI":"10.1186/s13570-017-0078-0","ISSN":"20417136","abstract":"Jakar sheep population in Bhutan is declining at unprecedented rate (44.4% per annum), and current population is little over 1,700. This study attempts to understand the current status of Jakar sheep and investigate the causes and drivers behind the rapid decline in population. The utility of sheep and wool in particular for clothing by herders is also declining. Sheep farming is increasingly becoming less attractive in face of alternative income sources and opportunities such as sale of potatoes and cordyceps (“caterpillar fungus”) in the pastoral communities. The average monetary returns from sheep to annual herd income constitute less than 0.26% in sites with large alternate income sources. Wool processing and product-making continues to employ traditional, labour-intensive and time-consuming tools. Further, wildlife depredation (77%), skin disease (54%) and farm labour shortages (10%) continue to challenge Jakar sheep farming. Therefore, immediate interventions targeted to address the issues through incentive schemes in niche production development, use of labour-saving devices and marketing to generate monetary benefits including compensation to animal loss are recommended. In addition, the initiation and strengthening of ex situ conservation programs for sustainable utilization of its genetic resources is highly recommended. © 2017, The Author(s).","author":[{"dropping-particle":"","family":"Dorji","given":"Jigme","non-dropping-particle":"","parse-names":false,"suffix":""},{"dropping-particle":"","family":"Tamang","given":"Sonam","non-dropping-particle":"","parse-names":false,"suffix":""},{"dropping-particle":"","family":"Dorji","given":"Tashi Yangzome","non-dropping-particle":"","parse-names":false,"suffix":""}],"container-title":"Pastoralism","id":"ITEM-1","issued":{"date-parts":[["2017"]]},"title":"Decline of Jakar sheep population in pastoral communities of Bhutan: A consequence of diminishing utility, alternate income opportunities and increasing challenges","type":"article-journal"},"uris":["http://www.mendeley.com/documents/?uuid=d96dc5e2-8f34-4866-8a6c-d03a9b8c8b8a","http://www.mendeley.com/documents/?uuid=3c1b6387-e182-49e1-83e2-6bb06ddc1ca9"]}],"mendeley":{"formattedCitation":"(Dorji, Tamang, &amp; Dorji, 2017)","plainTextFormattedCitation":"(Dorji, Tamang, &amp; Dorji, 2017)","previouslyFormattedCitation":"(Dorji, Tamang, &amp; Dorji, 2017)"},"properties":{"noteIndex":0},"schema":"https://github.com/citation-style-language/schema/raw/master/csl-citation.json"}</w:instrText>
      </w:r>
      <w:r w:rsidR="00F82183">
        <w:rPr>
          <w:lang w:val="en-US"/>
        </w:rPr>
        <w:fldChar w:fldCharType="separate"/>
      </w:r>
      <w:r w:rsidR="00F82183" w:rsidRPr="00F82183">
        <w:rPr>
          <w:noProof/>
          <w:lang w:val="en-US"/>
        </w:rPr>
        <w:t>(Dorji, Tamang, &amp; Dorji, 2017)</w:t>
      </w:r>
      <w:r w:rsidR="00F82183">
        <w:rPr>
          <w:lang w:val="en-US"/>
        </w:rPr>
        <w:fldChar w:fldCharType="end"/>
      </w:r>
      <w:r w:rsidRPr="00C74DCB">
        <w:rPr>
          <w:lang w:val="en-US"/>
        </w:rPr>
        <w:t>.</w:t>
      </w:r>
    </w:p>
    <w:p w14:paraId="760C0CA9" w14:textId="77777777" w:rsidR="00FB1729" w:rsidRPr="00C74DCB" w:rsidRDefault="00FB1729" w:rsidP="001A2F70">
      <w:pPr>
        <w:spacing w:line="480" w:lineRule="auto"/>
        <w:ind w:firstLine="720"/>
        <w:jc w:val="both"/>
        <w:rPr>
          <w:lang w:val="en-US"/>
        </w:rPr>
      </w:pPr>
    </w:p>
    <w:p w14:paraId="0DBB0658" w14:textId="77777777" w:rsidR="00C74DCB" w:rsidRPr="00C74DCB" w:rsidRDefault="002572EF" w:rsidP="001A2F70">
      <w:pPr>
        <w:spacing w:line="480" w:lineRule="auto"/>
        <w:ind w:firstLine="720"/>
        <w:jc w:val="both"/>
        <w:rPr>
          <w:lang w:val="en-US"/>
        </w:rPr>
      </w:pPr>
      <w:bookmarkStart w:id="2" w:name="_Toc528145534"/>
      <w:r w:rsidRPr="00C74DCB">
        <w:rPr>
          <w:lang w:val="en-US"/>
        </w:rPr>
        <w:lastRenderedPageBreak/>
        <w:t>Product strategy</w:t>
      </w:r>
      <w:bookmarkEnd w:id="2"/>
      <w:r w:rsidRPr="00C74DCB">
        <w:rPr>
          <w:lang w:val="en-US"/>
        </w:rPr>
        <w:t xml:space="preserve"> </w:t>
      </w:r>
    </w:p>
    <w:p w14:paraId="5AEF1C4F" w14:textId="2C260D56" w:rsidR="00C74DCB" w:rsidRPr="00C74DCB" w:rsidRDefault="002572EF" w:rsidP="001A2F70">
      <w:pPr>
        <w:spacing w:line="480" w:lineRule="auto"/>
        <w:ind w:firstLine="720"/>
        <w:jc w:val="both"/>
        <w:rPr>
          <w:lang w:val="en-US"/>
        </w:rPr>
      </w:pPr>
      <w:r w:rsidRPr="00C74DCB">
        <w:rPr>
          <w:lang w:val="en-US"/>
        </w:rPr>
        <w:t xml:space="preserve">The company is focusing on integrating a highly successful environment where it is possible to implement key outcomes based on developed goals.  Having a strong engagement within the industry will be essential in providing a greater focus on organization development. Maintaining a competitive advantage within the industry requires the company to diversify its products so that customers can choose based on their preferences. The integration of a differentiated production strategy will help outline a key focus on customer needs. The differentiation strategy that the company intends to implement will create a highly successful production of unique products to meet the ever-changing market needs </w:t>
      </w:r>
      <w:r w:rsidRPr="00C74DCB">
        <w:rPr>
          <w:lang w:val="en-US"/>
        </w:rPr>
        <w:fldChar w:fldCharType="begin" w:fldLock="1"/>
      </w:r>
      <w:r w:rsidR="003D7756">
        <w:rPr>
          <w:lang w:val="en-US"/>
        </w:rPr>
        <w:instrText>ADDIN CSL_CITATION {"citationItems":[{"id":"ITEM-1","itemData":{"DOI":"10.4324/9780203422335","ISBN":"9780203422335","author":[{"dropping-particle":"","family":"Paprzycki","given":"Ralph","non-dropping-particle":"","parse-names":false,"suffix":""}],"container-title":"Interfirm Networks in the Japanese Electronics Industry","id":"ITEM-1","issued":{"date-parts":[["2013"]]},"number-of-pages":"1-183","title":"Interfirm networks in the Japanese electronics industry","type":"book"},"uris":["http://www.mendeley.com/documents/?uuid=45e773a6-c05d-472f-a46e-4a44f874e547"]}],"mendeley":{"formattedCitation":"(Paprzycki, 2013)","plainTextFormattedCitation":"(Paprzycki, 2013)","previouslyFormattedCitation":"(Paprzycki, 2013)"},"properties":{"noteIndex":0},"schema":"https://github.com/citation-style-language/schema/raw/master/csl-citation.json"}</w:instrText>
      </w:r>
      <w:r w:rsidRPr="00C74DCB">
        <w:rPr>
          <w:lang w:val="en-US"/>
        </w:rPr>
        <w:fldChar w:fldCharType="separate"/>
      </w:r>
      <w:r w:rsidRPr="00C74DCB">
        <w:rPr>
          <w:noProof/>
          <w:lang w:val="en-US"/>
        </w:rPr>
        <w:t>(Paprzycki, 2013)</w:t>
      </w:r>
      <w:r w:rsidRPr="00C74DCB">
        <w:rPr>
          <w:lang w:val="en-US"/>
        </w:rPr>
        <w:fldChar w:fldCharType="end"/>
      </w:r>
      <w:r w:rsidRPr="00C74DCB">
        <w:rPr>
          <w:lang w:val="en-US"/>
        </w:rPr>
        <w:t>.</w:t>
      </w:r>
    </w:p>
    <w:p w14:paraId="221DE156" w14:textId="77777777" w:rsidR="00C74DCB" w:rsidRPr="00C74DCB" w:rsidRDefault="002572EF" w:rsidP="001A2F70">
      <w:pPr>
        <w:spacing w:line="480" w:lineRule="auto"/>
        <w:ind w:firstLine="720"/>
        <w:jc w:val="both"/>
        <w:rPr>
          <w:lang w:val="en-US"/>
        </w:rPr>
      </w:pPr>
      <w:bookmarkStart w:id="3" w:name="_Toc528145535"/>
      <w:r w:rsidRPr="00C74DCB">
        <w:rPr>
          <w:lang w:val="en-US"/>
        </w:rPr>
        <w:t>Distribution strategy</w:t>
      </w:r>
      <w:bookmarkEnd w:id="3"/>
      <w:r w:rsidRPr="00C74DCB">
        <w:rPr>
          <w:lang w:val="en-US"/>
        </w:rPr>
        <w:t xml:space="preserve"> </w:t>
      </w:r>
    </w:p>
    <w:p w14:paraId="6F5A6386" w14:textId="6C317572" w:rsidR="00C74DCB" w:rsidRPr="00C74DCB" w:rsidRDefault="002572EF" w:rsidP="001A2F70">
      <w:pPr>
        <w:spacing w:line="480" w:lineRule="auto"/>
        <w:ind w:firstLine="720"/>
        <w:jc w:val="both"/>
        <w:rPr>
          <w:lang w:val="en-US"/>
        </w:rPr>
      </w:pPr>
      <w:r w:rsidRPr="00C74DCB">
        <w:rPr>
          <w:lang w:val="en-US"/>
        </w:rPr>
        <w:t xml:space="preserve">The distribution strategy is based on the underlying organizational needs which define a strong commitment within the industry. </w:t>
      </w:r>
      <w:r w:rsidR="008B4BDB" w:rsidRPr="008B4BDB">
        <w:rPr>
          <w:lang w:val="en-US"/>
        </w:rPr>
        <w:t>Climax Inc.</w:t>
      </w:r>
      <w:r w:rsidR="008B4BDB" w:rsidRPr="00C74DCB">
        <w:rPr>
          <w:lang w:val="en-US"/>
        </w:rPr>
        <w:t xml:space="preserve"> </w:t>
      </w:r>
      <w:r w:rsidR="008B4BDB">
        <w:rPr>
          <w:lang w:val="en-US"/>
        </w:rPr>
        <w:t xml:space="preserve">need </w:t>
      </w:r>
      <w:r w:rsidRPr="00C74DCB">
        <w:rPr>
          <w:lang w:val="en-US"/>
        </w:rPr>
        <w:t>to integrate a flexible approach that can help manage the increasing changes within the industry. The company will align its sales with distribution strategy to develop a stronger emphasis on important fundamentals that define difference within the industry. The company has integrated a highly interactive customer experience which has focused on increased preference in the market. Distribution strategy outlines an important to focus on customer engagement</w:t>
      </w:r>
      <w:r w:rsidR="00F82183">
        <w:rPr>
          <w:lang w:val="en-US"/>
        </w:rPr>
        <w:t xml:space="preserve"> </w:t>
      </w:r>
      <w:r w:rsidR="00F82183">
        <w:rPr>
          <w:lang w:val="en-US"/>
        </w:rPr>
        <w:fldChar w:fldCharType="begin" w:fldLock="1"/>
      </w:r>
      <w:r w:rsidR="008D54FA">
        <w:rPr>
          <w:lang w:val="en-US"/>
        </w:rPr>
        <w:instrText>ADDIN CSL_CITATION {"citationItems":[{"id":"ITEM-1","itemData":{"DOI":"10.1177/0972262912469708","ISBN":"9780203357262","ISSN":"0972-2629","PMID":"13814724","abstract":"The article reviews the book \"Global Marketing Management,\" 4th edition, by M. Kotabe and K. Helsen.","author":[{"dropping-particle":"","family":"Shukre","given":"Anagha","non-dropping-particle":"","parse-names":false,"suffix":""}],"container-title":"Vision: The Journal of Business Perspective","id":"ITEM-1","issued":{"date-parts":[["2013"]]},"title":"Marketing Management","type":"article-journal"},"uris":["http://www.mendeley.com/documents/?uuid=299f2bfb-6bc1-4eb4-ab5d-391630d2ea25"]}],"mendeley":{"formattedCitation":"(Shukre, 2013)","plainTextFormattedCitation":"(Shukre, 2013)","previouslyFormattedCitation":"(Shukre, 2013)"},"properties":{"noteIndex":0},"schema":"https://github.com/citation-style-language/schema/raw/master/csl-citation.json"}</w:instrText>
      </w:r>
      <w:r w:rsidR="00F82183">
        <w:rPr>
          <w:lang w:val="en-US"/>
        </w:rPr>
        <w:fldChar w:fldCharType="separate"/>
      </w:r>
      <w:r w:rsidR="00F82183" w:rsidRPr="00F82183">
        <w:rPr>
          <w:noProof/>
          <w:lang w:val="en-US"/>
        </w:rPr>
        <w:t>(Shukre, 2013)</w:t>
      </w:r>
      <w:r w:rsidR="00F82183">
        <w:rPr>
          <w:lang w:val="en-US"/>
        </w:rPr>
        <w:fldChar w:fldCharType="end"/>
      </w:r>
      <w:r w:rsidRPr="00C74DCB">
        <w:rPr>
          <w:lang w:val="en-US"/>
        </w:rPr>
        <w:t>.</w:t>
      </w:r>
    </w:p>
    <w:p w14:paraId="79A9103A" w14:textId="77777777" w:rsidR="00C74DCB" w:rsidRPr="00C74DCB" w:rsidRDefault="002572EF" w:rsidP="001A2F70">
      <w:pPr>
        <w:spacing w:line="480" w:lineRule="auto"/>
        <w:ind w:firstLine="720"/>
        <w:jc w:val="both"/>
        <w:rPr>
          <w:lang w:val="en-US"/>
        </w:rPr>
      </w:pPr>
      <w:bookmarkStart w:id="4" w:name="_Toc528145536"/>
      <w:r w:rsidRPr="00C74DCB">
        <w:rPr>
          <w:lang w:val="en-US"/>
        </w:rPr>
        <w:t>Promotion strategy</w:t>
      </w:r>
      <w:bookmarkEnd w:id="4"/>
      <w:r w:rsidRPr="00C74DCB">
        <w:rPr>
          <w:lang w:val="en-US"/>
        </w:rPr>
        <w:t xml:space="preserve"> </w:t>
      </w:r>
    </w:p>
    <w:p w14:paraId="65E06758" w14:textId="0675DD89" w:rsidR="00C74DCB" w:rsidRPr="00C74DCB" w:rsidRDefault="002572EF" w:rsidP="001A2F70">
      <w:pPr>
        <w:spacing w:line="480" w:lineRule="auto"/>
        <w:ind w:firstLine="720"/>
        <w:jc w:val="both"/>
        <w:rPr>
          <w:lang w:val="en-US"/>
        </w:rPr>
      </w:pPr>
      <w:r w:rsidRPr="00C74DCB">
        <w:rPr>
          <w:lang w:val="en-US"/>
        </w:rPr>
        <w:t xml:space="preserve">The company will integrate a highly strategic promotion strategy which includes both modern and traditional promoting strategy. The diverse promotional strategies within the company will focus on improving performance where it is easier to incorporate new approaches that are aimed at strengthening the company performance. Advertising is an element in the marketing process; it involves the bold step of getting the message out about the availability of a new product that the company is offering into the market. Effective adverting is key to </w:t>
      </w:r>
      <w:r w:rsidRPr="00C74DCB">
        <w:rPr>
          <w:lang w:val="en-US"/>
        </w:rPr>
        <w:lastRenderedPageBreak/>
        <w:t xml:space="preserve">product success in the market since it plays an integral part in influencing the choices of customers available in the market. Advertising is a form of marketing that is often employed to enhance product performance in the market </w:t>
      </w:r>
      <w:r w:rsidRPr="00C74DCB">
        <w:rPr>
          <w:lang w:val="en-US"/>
        </w:rPr>
        <w:fldChar w:fldCharType="begin" w:fldLock="1"/>
      </w:r>
      <w:r w:rsidR="003D7756">
        <w:rPr>
          <w:lang w:val="en-US"/>
        </w:rPr>
        <w:instrText>ADDIN CSL_CITATION {"citationItems":[{"id":"ITEM-1","itemData":{"abstract":"Celebrities are increasingly becoming brands in their own right, using their status to build personal empires. This includes making money from appearances, licensing their names, endorsing other brands, launching their own products and supporting charities.  Celebrity endorsements can take the form of giving expert opinions, being a spokesperson or model for a product, or simply being associated with a brand or mentioning it in social media.  Endorsement by athletes has become an integral part of the marketing strategies of major sportswear companies such as Nike, Adidas and Puma. In 2012, Nike reportedly spent a substantial US$909 million on endorsement contracts.  In addition, athletes commonly endorse a range of other products, from luxury watches to soft drinks. Indeed, most successful sportspeople nowadays earn more from endorsements than they do from their sport itself.","author":[{"dropping-particle":"","family":"Lahouasnia","given":"Lamine","non-dropping-particle":"","parse-names":false,"suffix":""}],"container-title":"Euromonitor International","id":"ITEM-1","issued":{"date-parts":[["2014"]]},"title":"The Power of Celebrity: Types of Celebrity Marketing","type":"webpage"},"uris":["http://www.mendeley.com/documents/?uuid=a1f75fd9-1424-4f53-84df-6918922698ac","http://www.mendeley.com/documents/?uuid=4331e2b6-54bd-4389-a68a-62d4ed7dec0a"]}],"mendeley":{"formattedCitation":"(Lahouasnia, 2014)","plainTextFormattedCitation":"(Lahouasnia, 2014)","previouslyFormattedCitation":"(Lahouasnia, 2014)"},"properties":{"noteIndex":0},"schema":"https://github.com/citation-style-language/schema/raw/master/csl-citation.json"}</w:instrText>
      </w:r>
      <w:r w:rsidRPr="00C74DCB">
        <w:rPr>
          <w:lang w:val="en-US"/>
        </w:rPr>
        <w:fldChar w:fldCharType="separate"/>
      </w:r>
      <w:r w:rsidRPr="00C74DCB">
        <w:rPr>
          <w:noProof/>
          <w:lang w:val="en-US"/>
        </w:rPr>
        <w:t>(Lahouasnia, 2014)</w:t>
      </w:r>
      <w:r w:rsidRPr="00C74DCB">
        <w:rPr>
          <w:lang w:val="en-US"/>
        </w:rPr>
        <w:fldChar w:fldCharType="end"/>
      </w:r>
      <w:r w:rsidRPr="00C74DCB">
        <w:rPr>
          <w:lang w:val="en-US"/>
        </w:rPr>
        <w:t>.</w:t>
      </w:r>
    </w:p>
    <w:p w14:paraId="62543428" w14:textId="77777777" w:rsidR="00C74DCB" w:rsidRPr="00C74DCB" w:rsidRDefault="002572EF" w:rsidP="001A2F70">
      <w:pPr>
        <w:spacing w:line="480" w:lineRule="auto"/>
        <w:ind w:firstLine="720"/>
        <w:jc w:val="both"/>
        <w:rPr>
          <w:lang w:val="en-US"/>
        </w:rPr>
      </w:pPr>
      <w:r w:rsidRPr="00C74DCB">
        <w:rPr>
          <w:lang w:val="en-US"/>
        </w:rPr>
        <w:t xml:space="preserve">Communication plan </w:t>
      </w:r>
    </w:p>
    <w:p w14:paraId="5361C669" w14:textId="6F82947F" w:rsidR="00C74DCB" w:rsidRPr="00C74DCB" w:rsidRDefault="002572EF" w:rsidP="001A2F70">
      <w:pPr>
        <w:spacing w:line="480" w:lineRule="auto"/>
        <w:ind w:firstLine="720"/>
        <w:jc w:val="both"/>
        <w:rPr>
          <w:lang w:val="en-US"/>
        </w:rPr>
      </w:pPr>
      <w:r w:rsidRPr="00C74DCB">
        <w:rPr>
          <w:lang w:val="en-US"/>
        </w:rPr>
        <w:t xml:space="preserve">Communication plan outlines important processes that define organization engagement. The ability to understand a communication approach which encompasses a greater understanding of critical needs that define positive change. The communication plan that is integrated into this case will integrate important processes that help explain a more excellent knowledge on better processes that determine a better operational environment where better decisions can be made. The need to incorporate diverse communication strategy is based on the underlying measures which define a greater understanding on organization needs </w:t>
      </w:r>
      <w:r w:rsidRPr="00C74DCB">
        <w:rPr>
          <w:lang w:val="en-US"/>
        </w:rPr>
        <w:fldChar w:fldCharType="begin" w:fldLock="1"/>
      </w:r>
      <w:r w:rsidR="003D7756">
        <w:rPr>
          <w:lang w:val="en-US"/>
        </w:rPr>
        <w:instrText>ADDIN CSL_CITATION {"citationItems":[{"id":"ITEM-1","itemData":{"DOI":"10.1109/MVT.2015.2508321","ISBN":"0780384202","ISSN":"15566072","PMID":"18687121","abstract":"Smartphone Connectivity Apple (Cupertino, California) and Google's Android (Mountain View, California) together sell 95% of the smartphones in the United States, but, for years, they have been largely locked out of the automobile industry. Now, nearly every major automaker is preparing to share a ride with these smartphones [1]. As shown in Figure 1, Apple's CarPlay smartphone and its Google counterpart, Android Auto, are bringing their familiar smartphone screens and functionality, complete with all the intelligence and voice control technology, right to the car's dashboard [2], [3].","author":[{"dropping-particle":"","family":"Fleming","given":"Bill","non-dropping-particle":"","parse-names":false,"suffix":""}],"container-title":"IEEE Vehicular Technology Magazine","id":"ITEM-1","issue":"1","issued":{"date-parts":[["2016"]]},"page":"4-13","title":"Advances in Automotive Electronics [Automotive Electronics]","type":"article-journal","volume":"11"},"uris":["http://www.mendeley.com/documents/?uuid=db54a11f-1514-469a-b227-b1d00a410c85"]}],"mendeley":{"formattedCitation":"(Fleming, 2016)","plainTextFormattedCitation":"(Fleming, 2016)","previouslyFormattedCitation":"(Fleming, 2016)"},"properties":{"noteIndex":0},"schema":"https://github.com/citation-style-language/schema/raw/master/csl-citation.json"}</w:instrText>
      </w:r>
      <w:r w:rsidRPr="00C74DCB">
        <w:rPr>
          <w:lang w:val="en-US"/>
        </w:rPr>
        <w:fldChar w:fldCharType="separate"/>
      </w:r>
      <w:r w:rsidRPr="00C74DCB">
        <w:rPr>
          <w:noProof/>
          <w:lang w:val="en-US"/>
        </w:rPr>
        <w:t>(Fleming, 2016)</w:t>
      </w:r>
      <w:r w:rsidRPr="00C74DCB">
        <w:rPr>
          <w:lang w:val="en-US"/>
        </w:rPr>
        <w:fldChar w:fldCharType="end"/>
      </w:r>
      <w:r w:rsidRPr="00C74DCB">
        <w:rPr>
          <w:lang w:val="en-US"/>
        </w:rPr>
        <w:t xml:space="preserve">. </w:t>
      </w:r>
    </w:p>
    <w:p w14:paraId="690588DA" w14:textId="77777777" w:rsidR="00C74DCB" w:rsidRPr="00C74DCB" w:rsidRDefault="002572EF" w:rsidP="001A2F70">
      <w:pPr>
        <w:spacing w:line="480" w:lineRule="auto"/>
        <w:ind w:firstLine="720"/>
        <w:jc w:val="both"/>
        <w:rPr>
          <w:lang w:val="en-US"/>
        </w:rPr>
      </w:pPr>
      <w:r w:rsidRPr="00C74DCB">
        <w:rPr>
          <w:lang w:val="en-US"/>
        </w:rPr>
        <w:t>There is a need to implement better management strategies which help in improving organization management. The best communication plan integrates different approaches which include both verbal and nonverbal with a critical evaluation of essential processes that define a higher assessment of critical outcomes that define positive organization development. It is necessary to have an understanding of the interpretation of basic nonverbal communication strategies which identify essential elements that define better changes.</w:t>
      </w:r>
    </w:p>
    <w:p w14:paraId="3E7DC11A" w14:textId="5298D485" w:rsidR="00C74DCB" w:rsidRDefault="002572EF" w:rsidP="001A2F70">
      <w:pPr>
        <w:spacing w:line="480" w:lineRule="auto"/>
        <w:ind w:firstLine="720"/>
        <w:jc w:val="both"/>
        <w:rPr>
          <w:lang w:val="en-US"/>
        </w:rPr>
      </w:pPr>
      <w:r>
        <w:rPr>
          <w:lang w:val="en-US"/>
        </w:rPr>
        <w:t>Customer relationship management</w:t>
      </w:r>
    </w:p>
    <w:p w14:paraId="3CB0EF79" w14:textId="77777777" w:rsidR="00C74DCB" w:rsidRDefault="002572EF" w:rsidP="001A2F70">
      <w:pPr>
        <w:spacing w:line="480" w:lineRule="auto"/>
        <w:ind w:firstLine="720"/>
        <w:jc w:val="both"/>
        <w:rPr>
          <w:lang w:val="en-US"/>
        </w:rPr>
      </w:pPr>
      <w:r>
        <w:rPr>
          <w:lang w:val="en-US"/>
        </w:rPr>
        <w:t xml:space="preserve">Managing customer relationship is essential in having a successful organizational development. The critical focus on essential strategies that need to be evaluated provides a strong focus on fundamental changes which give a better evaluation on important elements which provide a firm understanding on key processes which are integral in maintaining better outcomes. </w:t>
      </w:r>
      <w:r w:rsidRPr="00C74DCB">
        <w:rPr>
          <w:lang w:val="en-US"/>
        </w:rPr>
        <w:t xml:space="preserve">The company will ensure that there is better development based on the key strategic </w:t>
      </w:r>
      <w:r w:rsidRPr="00C74DCB">
        <w:rPr>
          <w:lang w:val="en-US"/>
        </w:rPr>
        <w:lastRenderedPageBreak/>
        <w:t>objectives that have been put in place which define a greater understanding of organizational development.</w:t>
      </w:r>
    </w:p>
    <w:p w14:paraId="7965D730" w14:textId="4C737A21" w:rsidR="00C74DCB" w:rsidRDefault="002572EF" w:rsidP="001A2F70">
      <w:pPr>
        <w:spacing w:line="480" w:lineRule="auto"/>
        <w:ind w:firstLine="720"/>
        <w:jc w:val="both"/>
        <w:rPr>
          <w:lang w:val="en-US"/>
        </w:rPr>
      </w:pPr>
      <w:r w:rsidRPr="00C74DCB">
        <w:rPr>
          <w:lang w:val="en-US"/>
        </w:rPr>
        <w:t xml:space="preserve"> The feedback m</w:t>
      </w:r>
      <w:r>
        <w:rPr>
          <w:lang w:val="en-US"/>
        </w:rPr>
        <w:t xml:space="preserve">echanisms </w:t>
      </w:r>
      <w:r w:rsidRPr="00C74DCB">
        <w:rPr>
          <w:lang w:val="en-US"/>
        </w:rPr>
        <w:t xml:space="preserve">will include customer feedbacks, staff assessment, and performance evaluation. These measures will be necessary for identifying essential elements that define positive development. There is a need to integrate strategic concepts which represent a greater understanding of key development objectives. These measures will focus on three different areas which include management, employees and customers.  Therefore, the identification of greater understanding of these measures helps define a greater organizational development </w:t>
      </w:r>
      <w:r w:rsidRPr="00C74DCB">
        <w:rPr>
          <w:lang w:val="en-US"/>
        </w:rPr>
        <w:fldChar w:fldCharType="begin" w:fldLock="1"/>
      </w:r>
      <w:r w:rsidR="003D7756">
        <w:rPr>
          <w:lang w:val="en-US"/>
        </w:rPr>
        <w:instrText>ADDIN CSL_CITATION {"citationItems":[{"id":"ITEM-1","itemData":{"DOI":"10.1177/2277977915596257","ISSN":"2277-9779","PMID":"7973464","abstract":"Toy industry in the US is product driven and full of challenges. This case presents an overview of the California-based Micro Games of America (MGA) Entertainment, which is a consumer entertainment products company, engaged in innovative lines of proprietary and licensed products including toys and games, dolls, consumer electronics, home decor, stationery and sporting goods. It had more than 200 licences. In 2001, MGA launched a fashion doll called ‘Bratz’, and it sold 150 million Bratz dolls all over the world. Bratz line surpassed the legendary brand ‘Barbie’—Mattel, Inc.’s flagship brand—in a short span of time through many innovative marketing strategies and different product placement, roll-outs, tie-ins and other promotional tactics, despite facing many challenges, such as, fast-changing demographics, shorter product life cycle (PLC) and negative perceptions about brand. This case can be used to address two issues: first, structural change drivers and trends that shaped the toy industry in developed economies and, second, how to develop effective marketing strategies for product with shorter PLC in highly product-driven market? [ABSTRACT FROM AUTHOR]","author":[{"dropping-particle":"","family":"Patel","given":"Jayesh D.","non-dropping-particle":"","parse-names":false,"suffix":""},{"dropping-particle":"","family":"Trivedi","given":"Rohit H.","non-dropping-particle":"","parse-names":false,"suffix":""},{"dropping-particle":"","family":"Savalia","given":"Jignasa","non-dropping-particle":"","parse-names":false,"suffix":""}],"container-title":"South Asian Journal of Business and Management Cases","id":"ITEM-1","issue":"2","issued":{"date-parts":[["2015"]]},"page":"226-239","title":"MGA Entertainment, Consumer Entertainment Products Company: Marketing Strategies for ‘Bratz’","type":"article-journal","volume":"4"},"uris":["http://www.mendeley.com/documents/?uuid=5c9ed550-24d6-40b2-b75c-6731b9239d8b"]}],"mendeley":{"formattedCitation":"(Patel, Trivedi, &amp; Savalia, 2015)","plainTextFormattedCitation":"(Patel, Trivedi, &amp; Savalia, 2015)","previouslyFormattedCitation":"(Patel, Trivedi, &amp; Savalia, 2015)"},"properties":{"noteIndex":0},"schema":"https://github.com/citation-style-language/schema/raw/master/csl-citation.json"}</w:instrText>
      </w:r>
      <w:r w:rsidRPr="00C74DCB">
        <w:rPr>
          <w:lang w:val="en-US"/>
        </w:rPr>
        <w:fldChar w:fldCharType="separate"/>
      </w:r>
      <w:r w:rsidR="003D7756" w:rsidRPr="003D7756">
        <w:rPr>
          <w:noProof/>
          <w:lang w:val="en-US"/>
        </w:rPr>
        <w:t>(Patel, Trivedi, &amp; Savalia, 2015)</w:t>
      </w:r>
      <w:r w:rsidRPr="00C74DCB">
        <w:rPr>
          <w:lang w:val="en-US"/>
        </w:rPr>
        <w:fldChar w:fldCharType="end"/>
      </w:r>
      <w:r w:rsidRPr="00C74DCB">
        <w:rPr>
          <w:lang w:val="en-US"/>
        </w:rPr>
        <w:t>.</w:t>
      </w:r>
    </w:p>
    <w:p w14:paraId="7F28A6C5" w14:textId="1254B6EC" w:rsidR="00C74DCB" w:rsidRDefault="002572EF" w:rsidP="001A2F70">
      <w:pPr>
        <w:spacing w:line="480" w:lineRule="auto"/>
        <w:ind w:firstLine="720"/>
        <w:jc w:val="both"/>
        <w:rPr>
          <w:lang w:val="en-US"/>
        </w:rPr>
      </w:pPr>
      <w:r>
        <w:rPr>
          <w:lang w:val="en-US"/>
        </w:rPr>
        <w:t>Conclusion</w:t>
      </w:r>
    </w:p>
    <w:p w14:paraId="560FDF2F" w14:textId="1D33AF90" w:rsidR="00C74DCB" w:rsidRPr="00C74DCB" w:rsidRDefault="002572EF" w:rsidP="001A2F70">
      <w:pPr>
        <w:spacing w:line="480" w:lineRule="auto"/>
        <w:ind w:firstLine="720"/>
        <w:jc w:val="both"/>
        <w:rPr>
          <w:lang w:val="en-US"/>
        </w:rPr>
      </w:pPr>
      <w:r>
        <w:rPr>
          <w:lang w:val="en-US"/>
        </w:rPr>
        <w:t xml:space="preserve">Developing a strategic marketing plan provide a crucial focus on essential changes which provide a critical evaluation of significant changes which help in defining key outcomes. An essential development of substantial changes within the global context help defines vital processes where it is necessary to outline essential measures which can help attain better results. Therefore, there is a need to understand </w:t>
      </w:r>
      <w:r w:rsidRPr="00EB5D68">
        <w:rPr>
          <w:noProof/>
          <w:lang w:val="en-US"/>
        </w:rPr>
        <w:t>necessary</w:t>
      </w:r>
      <w:r>
        <w:rPr>
          <w:lang w:val="en-US"/>
        </w:rPr>
        <w:t xml:space="preserve"> changes which help define key processes that help identify better outcomes.</w:t>
      </w:r>
      <w:r w:rsidR="00F22A66">
        <w:rPr>
          <w:lang w:val="en-US"/>
        </w:rPr>
        <w:t xml:space="preserve"> Climax Inc. is highly engaged and focuses on the development of crucial methods which will help achieve better organizational results. Strategic evaluation of critical processes within organizational context help define essential approaches that have been put in place which help in creating a profoundly transformed business development. Being a startup company, there is a need to ensure better development and critical understanding of essential changes that have been put in place.</w:t>
      </w:r>
    </w:p>
    <w:p w14:paraId="6CE998EC" w14:textId="77777777" w:rsidR="00C74DCB" w:rsidRPr="00C74DCB" w:rsidRDefault="00C74DCB" w:rsidP="001A2F70">
      <w:pPr>
        <w:spacing w:line="480" w:lineRule="auto"/>
        <w:ind w:firstLine="720"/>
        <w:jc w:val="both"/>
        <w:rPr>
          <w:lang w:val="en-US"/>
        </w:rPr>
      </w:pPr>
    </w:p>
    <w:p w14:paraId="54968B31" w14:textId="77777777" w:rsidR="00F70172" w:rsidRPr="007D6DB1" w:rsidRDefault="00F70172" w:rsidP="007D6DB1">
      <w:pPr>
        <w:rPr>
          <w:lang w:val="en-US"/>
        </w:rPr>
      </w:pPr>
    </w:p>
    <w:p w14:paraId="503417D4" w14:textId="77777777" w:rsidR="007D6DB1" w:rsidRPr="002F27D9" w:rsidRDefault="007D6DB1" w:rsidP="002F27D9">
      <w:pPr>
        <w:rPr>
          <w:lang w:val="en-US"/>
        </w:rPr>
      </w:pPr>
    </w:p>
    <w:p w14:paraId="28558359" w14:textId="51D3302B" w:rsidR="002603C7" w:rsidRDefault="001A2F70" w:rsidP="008D54FA">
      <w:pPr>
        <w:jc w:val="center"/>
        <w:rPr>
          <w:lang w:val="en-US"/>
        </w:rPr>
      </w:pPr>
      <w:r>
        <w:rPr>
          <w:lang w:val="en-US"/>
        </w:rPr>
        <w:lastRenderedPageBreak/>
        <w:t>References</w:t>
      </w:r>
    </w:p>
    <w:p w14:paraId="15261406" w14:textId="509DD3CD"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8D54FA">
        <w:rPr>
          <w:rFonts w:cs="Times New Roman"/>
          <w:noProof/>
          <w:szCs w:val="24"/>
        </w:rPr>
        <w:t xml:space="preserve">Berthon, P. R., Pitt, L. F., Plangger, K., &amp; Shapiro, D. (2012). Marketing meets Web 2.0, social media, and creative consumers: Implications for international marketing strategy. </w:t>
      </w:r>
      <w:r w:rsidRPr="008D54FA">
        <w:rPr>
          <w:rFonts w:cs="Times New Roman"/>
          <w:i/>
          <w:iCs/>
          <w:noProof/>
          <w:szCs w:val="24"/>
        </w:rPr>
        <w:t>Business Horizons</w:t>
      </w:r>
      <w:r w:rsidRPr="008D54FA">
        <w:rPr>
          <w:rFonts w:cs="Times New Roman"/>
          <w:noProof/>
          <w:szCs w:val="24"/>
        </w:rPr>
        <w:t>. https://doi.org/10.1016/j.bushor.2012.01.007</w:t>
      </w:r>
    </w:p>
    <w:p w14:paraId="70DADF27"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Calo, A. (2018). How knowledge deficit interventions fail to resolve beginning farmer challenges. </w:t>
      </w:r>
      <w:r w:rsidRPr="008D54FA">
        <w:rPr>
          <w:rFonts w:cs="Times New Roman"/>
          <w:i/>
          <w:iCs/>
          <w:noProof/>
          <w:szCs w:val="24"/>
        </w:rPr>
        <w:t>Agriculture and Human Values</w:t>
      </w:r>
      <w:r w:rsidRPr="008D54FA">
        <w:rPr>
          <w:rFonts w:cs="Times New Roman"/>
          <w:noProof/>
          <w:szCs w:val="24"/>
        </w:rPr>
        <w:t>. https://doi.org/10.1007/s10460-017-9832-6</w:t>
      </w:r>
    </w:p>
    <w:p w14:paraId="17AFC51F"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Dorji, J., Tamang, S., &amp; Dorji, T. Y. (2017). </w:t>
      </w:r>
      <w:r w:rsidRPr="00EB5D68">
        <w:rPr>
          <w:rFonts w:cs="Times New Roman"/>
          <w:noProof/>
          <w:szCs w:val="24"/>
          <w:u w:val="thick" w:color="28B473"/>
        </w:rPr>
        <w:t>Decline</w:t>
      </w:r>
      <w:r w:rsidRPr="008D54FA">
        <w:rPr>
          <w:rFonts w:cs="Times New Roman"/>
          <w:noProof/>
          <w:szCs w:val="24"/>
        </w:rPr>
        <w:t xml:space="preserve"> of Jakar sheep population in pastoral communities of Bhutan: A consequence of diminishing utility, </w:t>
      </w:r>
      <w:r w:rsidRPr="00EB5D68">
        <w:rPr>
          <w:rFonts w:cs="Times New Roman"/>
          <w:noProof/>
          <w:szCs w:val="24"/>
          <w:u w:val="thick" w:color="E2534F"/>
        </w:rPr>
        <w:t>alternate</w:t>
      </w:r>
      <w:r w:rsidRPr="008D54FA">
        <w:rPr>
          <w:rFonts w:cs="Times New Roman"/>
          <w:noProof/>
          <w:szCs w:val="24"/>
        </w:rPr>
        <w:t xml:space="preserve"> income opportunities </w:t>
      </w:r>
      <w:r w:rsidRPr="00EB5D68">
        <w:rPr>
          <w:rFonts w:cs="Times New Roman"/>
          <w:noProof/>
          <w:szCs w:val="24"/>
          <w:u w:val="thick" w:color="28B473"/>
        </w:rPr>
        <w:t>and</w:t>
      </w:r>
      <w:r w:rsidRPr="008D54FA">
        <w:rPr>
          <w:rFonts w:cs="Times New Roman"/>
          <w:noProof/>
          <w:szCs w:val="24"/>
        </w:rPr>
        <w:t xml:space="preserve"> increasing challenges. </w:t>
      </w:r>
      <w:r w:rsidRPr="008D54FA">
        <w:rPr>
          <w:rFonts w:cs="Times New Roman"/>
          <w:i/>
          <w:iCs/>
          <w:noProof/>
          <w:szCs w:val="24"/>
        </w:rPr>
        <w:t>Pastoralism</w:t>
      </w:r>
      <w:r w:rsidRPr="008D54FA">
        <w:rPr>
          <w:rFonts w:cs="Times New Roman"/>
          <w:noProof/>
          <w:szCs w:val="24"/>
        </w:rPr>
        <w:t>. https://doi.org/10.1186/s13570-017-0078-0</w:t>
      </w:r>
    </w:p>
    <w:p w14:paraId="4D29E3BE"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Eagle, L., Dahl, S., Czarnecka, B., &amp; Lloyd, J. (2014). </w:t>
      </w:r>
      <w:r w:rsidRPr="008D54FA">
        <w:rPr>
          <w:rFonts w:cs="Times New Roman"/>
          <w:i/>
          <w:iCs/>
          <w:noProof/>
          <w:szCs w:val="24"/>
        </w:rPr>
        <w:t>Marketing Communications</w:t>
      </w:r>
      <w:r w:rsidRPr="008D54FA">
        <w:rPr>
          <w:rFonts w:cs="Times New Roman"/>
          <w:noProof/>
          <w:szCs w:val="24"/>
        </w:rPr>
        <w:t xml:space="preserve">. </w:t>
      </w:r>
      <w:r w:rsidRPr="008D54FA">
        <w:rPr>
          <w:rFonts w:cs="Times New Roman"/>
          <w:i/>
          <w:iCs/>
          <w:noProof/>
          <w:szCs w:val="24"/>
        </w:rPr>
        <w:t>Marketing Communications</w:t>
      </w:r>
      <w:r w:rsidRPr="008D54FA">
        <w:rPr>
          <w:rFonts w:cs="Times New Roman"/>
          <w:noProof/>
          <w:szCs w:val="24"/>
        </w:rPr>
        <w:t>. https://doi.org/10.1017/9781315848860</w:t>
      </w:r>
    </w:p>
    <w:p w14:paraId="5B12D3AD"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Fleming, B. (2016). Advances in Automotive Electronics [Automotive Electronics]. </w:t>
      </w:r>
      <w:r w:rsidRPr="008D54FA">
        <w:rPr>
          <w:rFonts w:cs="Times New Roman"/>
          <w:i/>
          <w:iCs/>
          <w:noProof/>
          <w:szCs w:val="24"/>
        </w:rPr>
        <w:t>IEEE Vehicular Technology Magazine</w:t>
      </w:r>
      <w:r w:rsidRPr="008D54FA">
        <w:rPr>
          <w:rFonts w:cs="Times New Roman"/>
          <w:noProof/>
          <w:szCs w:val="24"/>
        </w:rPr>
        <w:t xml:space="preserve">, </w:t>
      </w:r>
      <w:r w:rsidRPr="008D54FA">
        <w:rPr>
          <w:rFonts w:cs="Times New Roman"/>
          <w:i/>
          <w:iCs/>
          <w:noProof/>
          <w:szCs w:val="24"/>
        </w:rPr>
        <w:t>11</w:t>
      </w:r>
      <w:r w:rsidRPr="008D54FA">
        <w:rPr>
          <w:rFonts w:cs="Times New Roman"/>
          <w:noProof/>
          <w:szCs w:val="24"/>
        </w:rPr>
        <w:t>(1), 4–13. https://doi.org/10.1109/MVT.2015.2508321</w:t>
      </w:r>
    </w:p>
    <w:p w14:paraId="7C4F8403"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Järvinen, J., &amp; Taiminen, H. (2016). Harnessing marketing automation for B2B content marketing. </w:t>
      </w:r>
      <w:r w:rsidRPr="008D54FA">
        <w:rPr>
          <w:rFonts w:cs="Times New Roman"/>
          <w:i/>
          <w:iCs/>
          <w:noProof/>
          <w:szCs w:val="24"/>
        </w:rPr>
        <w:t>Industrial Marketing Management</w:t>
      </w:r>
      <w:r w:rsidRPr="008D54FA">
        <w:rPr>
          <w:rFonts w:cs="Times New Roman"/>
          <w:noProof/>
          <w:szCs w:val="24"/>
        </w:rPr>
        <w:t>. https://doi.org/10.1016/j.indmarman.2015.07.002</w:t>
      </w:r>
    </w:p>
    <w:p w14:paraId="11886413"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Lahouasnia, L. (2014). The Power of Celebrity: Types of Celebrity Marketing.</w:t>
      </w:r>
    </w:p>
    <w:p w14:paraId="3873DF7B"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Morgan, N. A. (2012). Marketing and business performance. </w:t>
      </w:r>
      <w:r w:rsidRPr="008D54FA">
        <w:rPr>
          <w:rFonts w:cs="Times New Roman"/>
          <w:i/>
          <w:iCs/>
          <w:noProof/>
          <w:szCs w:val="24"/>
        </w:rPr>
        <w:t>Journal of the Academy of Marketing Science</w:t>
      </w:r>
      <w:r w:rsidRPr="008D54FA">
        <w:rPr>
          <w:rFonts w:cs="Times New Roman"/>
          <w:noProof/>
          <w:szCs w:val="24"/>
        </w:rPr>
        <w:t xml:space="preserve">, </w:t>
      </w:r>
      <w:r w:rsidRPr="008D54FA">
        <w:rPr>
          <w:rFonts w:cs="Times New Roman"/>
          <w:i/>
          <w:iCs/>
          <w:noProof/>
          <w:szCs w:val="24"/>
        </w:rPr>
        <w:t>40</w:t>
      </w:r>
      <w:r w:rsidRPr="008D54FA">
        <w:rPr>
          <w:rFonts w:cs="Times New Roman"/>
          <w:noProof/>
          <w:szCs w:val="24"/>
        </w:rPr>
        <w:t>(1), 102–119. https://doi.org/10.1007/s11747-011-0279-9</w:t>
      </w:r>
    </w:p>
    <w:p w14:paraId="50513C76"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Paprzycki, R. (2013). </w:t>
      </w:r>
      <w:r w:rsidRPr="008D54FA">
        <w:rPr>
          <w:rFonts w:cs="Times New Roman"/>
          <w:i/>
          <w:iCs/>
          <w:noProof/>
          <w:szCs w:val="24"/>
        </w:rPr>
        <w:t>Interfirm networks in the Japanese electronics industry</w:t>
      </w:r>
      <w:r w:rsidRPr="008D54FA">
        <w:rPr>
          <w:rFonts w:cs="Times New Roman"/>
          <w:noProof/>
          <w:szCs w:val="24"/>
        </w:rPr>
        <w:t xml:space="preserve">. </w:t>
      </w:r>
      <w:r w:rsidRPr="008D54FA">
        <w:rPr>
          <w:rFonts w:cs="Times New Roman"/>
          <w:i/>
          <w:iCs/>
          <w:noProof/>
          <w:szCs w:val="24"/>
        </w:rPr>
        <w:t>Interfirm Networks in the Japanese Electronics Industry</w:t>
      </w:r>
      <w:r w:rsidRPr="008D54FA">
        <w:rPr>
          <w:rFonts w:cs="Times New Roman"/>
          <w:noProof/>
          <w:szCs w:val="24"/>
        </w:rPr>
        <w:t>. https://doi.org/10.4324/9780203422335</w:t>
      </w:r>
    </w:p>
    <w:p w14:paraId="57895F58"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lastRenderedPageBreak/>
        <w:t xml:space="preserve">Patel, J. D., Trivedi, R. H., &amp; Savalia, J. (2015). MGA Entertainment, Consumer Entertainment Products Company: Marketing Strategies for ‘Bratz.’ </w:t>
      </w:r>
      <w:r w:rsidRPr="008D54FA">
        <w:rPr>
          <w:rFonts w:cs="Times New Roman"/>
          <w:i/>
          <w:iCs/>
          <w:noProof/>
          <w:szCs w:val="24"/>
        </w:rPr>
        <w:t>South Asian Journal of Business and Management Cases</w:t>
      </w:r>
      <w:r w:rsidRPr="008D54FA">
        <w:rPr>
          <w:rFonts w:cs="Times New Roman"/>
          <w:noProof/>
          <w:szCs w:val="24"/>
        </w:rPr>
        <w:t xml:space="preserve">, </w:t>
      </w:r>
      <w:r w:rsidRPr="008D54FA">
        <w:rPr>
          <w:rFonts w:cs="Times New Roman"/>
          <w:i/>
          <w:iCs/>
          <w:noProof/>
          <w:szCs w:val="24"/>
        </w:rPr>
        <w:t>4</w:t>
      </w:r>
      <w:r w:rsidRPr="008D54FA">
        <w:rPr>
          <w:rFonts w:cs="Times New Roman"/>
          <w:noProof/>
          <w:szCs w:val="24"/>
        </w:rPr>
        <w:t>(2), 226–239. https://doi.org/10.1177/2277977915596257</w:t>
      </w:r>
    </w:p>
    <w:p w14:paraId="4C1BA310"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Phillips, M. J. (2013). Agricultural biotechnology issues. In </w:t>
      </w:r>
      <w:r w:rsidRPr="008D54FA">
        <w:rPr>
          <w:rFonts w:cs="Times New Roman"/>
          <w:i/>
          <w:iCs/>
          <w:noProof/>
          <w:szCs w:val="24"/>
        </w:rPr>
        <w:t>US Programs Affecting Food and Agricultural Marketing</w:t>
      </w:r>
      <w:r w:rsidRPr="008D54FA">
        <w:rPr>
          <w:rFonts w:cs="Times New Roman"/>
          <w:noProof/>
          <w:szCs w:val="24"/>
        </w:rPr>
        <w:t>. https://doi.org/10.1007/978-1-4614-4930-0_17</w:t>
      </w:r>
    </w:p>
    <w:p w14:paraId="5B4B6C76" w14:textId="77777777" w:rsidR="008D54FA" w:rsidRPr="008D54FA" w:rsidRDefault="008D54FA" w:rsidP="008D54FA">
      <w:pPr>
        <w:widowControl w:val="0"/>
        <w:autoSpaceDE w:val="0"/>
        <w:autoSpaceDN w:val="0"/>
        <w:adjustRightInd w:val="0"/>
        <w:spacing w:line="480" w:lineRule="auto"/>
        <w:ind w:left="480" w:hanging="480"/>
        <w:rPr>
          <w:rFonts w:cs="Times New Roman"/>
          <w:noProof/>
          <w:szCs w:val="24"/>
        </w:rPr>
      </w:pPr>
      <w:r w:rsidRPr="008D54FA">
        <w:rPr>
          <w:rFonts w:cs="Times New Roman"/>
          <w:noProof/>
          <w:szCs w:val="24"/>
        </w:rPr>
        <w:t xml:space="preserve">Shukre, A. (2013). Marketing Management. </w:t>
      </w:r>
      <w:r w:rsidRPr="008D54FA">
        <w:rPr>
          <w:rFonts w:cs="Times New Roman"/>
          <w:i/>
          <w:iCs/>
          <w:noProof/>
          <w:szCs w:val="24"/>
        </w:rPr>
        <w:t>Vision: The Journal of Business Perspective</w:t>
      </w:r>
      <w:r w:rsidRPr="008D54FA">
        <w:rPr>
          <w:rFonts w:cs="Times New Roman"/>
          <w:noProof/>
          <w:szCs w:val="24"/>
        </w:rPr>
        <w:t>. https://doi.org/10.1177/0972262912469708</w:t>
      </w:r>
    </w:p>
    <w:p w14:paraId="778CC7ED" w14:textId="77777777" w:rsidR="008D54FA" w:rsidRPr="008D54FA" w:rsidRDefault="008D54FA" w:rsidP="008D54FA">
      <w:pPr>
        <w:widowControl w:val="0"/>
        <w:autoSpaceDE w:val="0"/>
        <w:autoSpaceDN w:val="0"/>
        <w:adjustRightInd w:val="0"/>
        <w:spacing w:line="480" w:lineRule="auto"/>
        <w:ind w:left="480" w:hanging="480"/>
        <w:rPr>
          <w:rFonts w:cs="Times New Roman"/>
          <w:noProof/>
        </w:rPr>
      </w:pPr>
      <w:r w:rsidRPr="008D54FA">
        <w:rPr>
          <w:rFonts w:cs="Times New Roman"/>
          <w:noProof/>
          <w:szCs w:val="24"/>
        </w:rPr>
        <w:t xml:space="preserve">Wawire, A. W., Wangia, S. M., &amp; Okello, J. J. (2017). Determinants of Use of Information and Communication Technologies in Agriculture: The Case of Kenya Agricultural Commodity Exchange in Bungoma County, Kenya. </w:t>
      </w:r>
      <w:r w:rsidRPr="008D54FA">
        <w:rPr>
          <w:rFonts w:cs="Times New Roman"/>
          <w:i/>
          <w:iCs/>
          <w:noProof/>
          <w:szCs w:val="24"/>
        </w:rPr>
        <w:t>Journal of Agricultural Science</w:t>
      </w:r>
      <w:r w:rsidRPr="008D54FA">
        <w:rPr>
          <w:rFonts w:cs="Times New Roman"/>
          <w:noProof/>
          <w:szCs w:val="24"/>
        </w:rPr>
        <w:t>. https://doi.org/10.5539/jas.v9n3p128</w:t>
      </w:r>
    </w:p>
    <w:p w14:paraId="31F19BB2" w14:textId="7273695C" w:rsidR="001A2F70" w:rsidRPr="002603C7" w:rsidRDefault="008D54FA" w:rsidP="008D54FA">
      <w:pPr>
        <w:spacing w:line="480" w:lineRule="auto"/>
        <w:rPr>
          <w:lang w:val="en-US"/>
        </w:rPr>
      </w:pPr>
      <w:r>
        <w:rPr>
          <w:lang w:val="en-US"/>
        </w:rPr>
        <w:fldChar w:fldCharType="end"/>
      </w:r>
    </w:p>
    <w:sectPr w:rsidR="001A2F70" w:rsidRPr="002603C7" w:rsidSect="001A2F7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9518F" w14:textId="77777777" w:rsidR="00576D99" w:rsidRDefault="00576D99" w:rsidP="001A2F70">
      <w:pPr>
        <w:spacing w:after="0" w:line="240" w:lineRule="auto"/>
      </w:pPr>
      <w:r>
        <w:separator/>
      </w:r>
    </w:p>
  </w:endnote>
  <w:endnote w:type="continuationSeparator" w:id="0">
    <w:p w14:paraId="1C62D417" w14:textId="77777777" w:rsidR="00576D99" w:rsidRDefault="00576D99" w:rsidP="001A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A43B4" w14:textId="77777777" w:rsidR="00576D99" w:rsidRDefault="00576D99" w:rsidP="001A2F70">
      <w:pPr>
        <w:spacing w:after="0" w:line="240" w:lineRule="auto"/>
      </w:pPr>
      <w:r>
        <w:separator/>
      </w:r>
    </w:p>
  </w:footnote>
  <w:footnote w:type="continuationSeparator" w:id="0">
    <w:p w14:paraId="78B64FAF" w14:textId="77777777" w:rsidR="00576D99" w:rsidRDefault="00576D99" w:rsidP="001A2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141BB" w14:textId="242E4BAE" w:rsidR="001A2F70" w:rsidRDefault="001A2F70">
    <w:pPr>
      <w:pStyle w:val="Header"/>
      <w:jc w:val="right"/>
    </w:pPr>
    <w:r w:rsidRPr="001A2F70">
      <w:rPr>
        <w:lang w:val="en-US"/>
      </w:rPr>
      <w:t>CLIMAX INC. STRATEGIC MARKETING PLAN</w:t>
    </w:r>
    <w:r w:rsidRPr="001A2F70">
      <w:t xml:space="preserve"> </w:t>
    </w:r>
    <w:r>
      <w:rPr>
        <w:lang w:val="en-US"/>
      </w:rPr>
      <w:t xml:space="preserve">                                                           </w:t>
    </w:r>
    <w:sdt>
      <w:sdtPr>
        <w:id w:val="1150558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875F6ED" w14:textId="77777777" w:rsidR="001A2F70" w:rsidRDefault="001A2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34D66" w14:textId="67FF1A22" w:rsidR="001A2F70" w:rsidRDefault="001A2F70">
    <w:pPr>
      <w:pStyle w:val="Header"/>
      <w:jc w:val="right"/>
    </w:pPr>
    <w:r>
      <w:rPr>
        <w:lang w:val="en-US"/>
      </w:rPr>
      <w:t xml:space="preserve">Running head: CLIMAX INC. STRATEGIC MARKETING PLAN                                     </w:t>
    </w:r>
    <w:sdt>
      <w:sdtPr>
        <w:id w:val="19966045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1DB0BA1" w14:textId="77777777" w:rsidR="001A2F70" w:rsidRDefault="001A2F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0trA0NDExMzGwNDVQ0lEKTi0uzszPAykwrAUA8fLrwCwAAAA="/>
  </w:docVars>
  <w:rsids>
    <w:rsidRoot w:val="002603C7"/>
    <w:rsid w:val="00073892"/>
    <w:rsid w:val="001178FE"/>
    <w:rsid w:val="001A2F70"/>
    <w:rsid w:val="002572EF"/>
    <w:rsid w:val="002603C7"/>
    <w:rsid w:val="002F27D9"/>
    <w:rsid w:val="003D7756"/>
    <w:rsid w:val="00576D99"/>
    <w:rsid w:val="005C2EF0"/>
    <w:rsid w:val="00657996"/>
    <w:rsid w:val="007D6DB1"/>
    <w:rsid w:val="008B4BDB"/>
    <w:rsid w:val="008D54FA"/>
    <w:rsid w:val="00BA7A17"/>
    <w:rsid w:val="00C74DCB"/>
    <w:rsid w:val="00EB5D68"/>
    <w:rsid w:val="00EC7510"/>
    <w:rsid w:val="00F22A66"/>
    <w:rsid w:val="00F70172"/>
    <w:rsid w:val="00F82183"/>
    <w:rsid w:val="00FB172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8E1E9"/>
  <w15:chartTrackingRefBased/>
  <w15:docId w15:val="{13E32C44-A820-4589-8FB2-78EDE74D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D77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7756"/>
    <w:rPr>
      <w:sz w:val="20"/>
      <w:szCs w:val="20"/>
    </w:rPr>
  </w:style>
  <w:style w:type="character" w:styleId="FootnoteReference">
    <w:name w:val="footnote reference"/>
    <w:basedOn w:val="DefaultParagraphFont"/>
    <w:uiPriority w:val="99"/>
    <w:semiHidden/>
    <w:unhideWhenUsed/>
    <w:rsid w:val="003D7756"/>
    <w:rPr>
      <w:vertAlign w:val="superscript"/>
    </w:rPr>
  </w:style>
  <w:style w:type="paragraph" w:styleId="Header">
    <w:name w:val="header"/>
    <w:basedOn w:val="Normal"/>
    <w:link w:val="HeaderChar"/>
    <w:uiPriority w:val="99"/>
    <w:unhideWhenUsed/>
    <w:rsid w:val="001A2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F70"/>
  </w:style>
  <w:style w:type="paragraph" w:styleId="Footer">
    <w:name w:val="footer"/>
    <w:basedOn w:val="Normal"/>
    <w:link w:val="FooterChar"/>
    <w:uiPriority w:val="99"/>
    <w:unhideWhenUsed/>
    <w:rsid w:val="001A2F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7E130-396D-4742-8439-076DB3056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6952</Words>
  <Characters>39628</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2019-01-05T05:15:00Z</dcterms:created>
  <dcterms:modified xsi:type="dcterms:W3CDTF">2019-01-05T05:15:00Z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